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C3E" w:rsidRDefault="00D02C3E" w:rsidP="00374D0D">
      <w:pPr>
        <w:pStyle w:val="Heading1"/>
        <w:rPr>
          <w:lang w:val="et-EE"/>
        </w:rPr>
      </w:pPr>
      <w:r>
        <w:rPr>
          <w:lang w:val="et-EE"/>
        </w:rPr>
        <w:t>Tromboosiprofülaktika</w:t>
      </w:r>
      <w:r w:rsidR="00665DE7">
        <w:rPr>
          <w:lang w:val="et-EE"/>
        </w:rPr>
        <w:t xml:space="preserve"> (EAU 2022 ravijuhend</w:t>
      </w:r>
      <w:r w:rsidR="00FD0B8C">
        <w:rPr>
          <w:lang w:val="et-EE"/>
        </w:rPr>
        <w:t>i ülevaade</w:t>
      </w:r>
      <w:r w:rsidR="00665DE7">
        <w:rPr>
          <w:lang w:val="et-EE"/>
        </w:rPr>
        <w:t>)</w:t>
      </w:r>
    </w:p>
    <w:p w:rsidR="00561D44" w:rsidRDefault="00561D44" w:rsidP="00374D0D">
      <w:pPr>
        <w:rPr>
          <w:lang w:val="et-EE"/>
        </w:rPr>
      </w:pPr>
    </w:p>
    <w:p w:rsidR="00561D44" w:rsidRDefault="00561D44" w:rsidP="00561D44">
      <w:pPr>
        <w:pStyle w:val="Heading4"/>
        <w:rPr>
          <w:lang w:val="et-EE"/>
        </w:rPr>
      </w:pPr>
      <w:r>
        <w:rPr>
          <w:lang w:val="et-EE"/>
        </w:rPr>
        <w:t>Patsiendi individuaalse riski hindamine</w:t>
      </w:r>
    </w:p>
    <w:p w:rsidR="00183387" w:rsidRPr="005B220B" w:rsidRDefault="00665DE7" w:rsidP="00561D44">
      <w:pPr>
        <w:rPr>
          <w:lang w:val="et-EE"/>
        </w:rPr>
      </w:pPr>
      <w:r>
        <w:rPr>
          <w:lang w:val="et-EE"/>
        </w:rPr>
        <w:t xml:space="preserve">NB! </w:t>
      </w:r>
      <w:r w:rsidR="00183387">
        <w:rPr>
          <w:lang w:val="et-EE"/>
        </w:rPr>
        <w:t xml:space="preserve">Ravijuhendis pakutud riskihindamise mudel ei ole valideeritud ja ei arvesta operatsiooni kestvust, suukaudset </w:t>
      </w:r>
      <w:proofErr w:type="spellStart"/>
      <w:r w:rsidR="00183387">
        <w:rPr>
          <w:lang w:val="et-EE"/>
        </w:rPr>
        <w:t>kontratseptsiooni</w:t>
      </w:r>
      <w:proofErr w:type="spellEnd"/>
      <w:r w:rsidR="00183387">
        <w:rPr>
          <w:lang w:val="et-EE"/>
        </w:rPr>
        <w:t>, halvatust, seljaaju vigastust, pärilike verehaigusi (</w:t>
      </w:r>
      <w:proofErr w:type="spellStart"/>
      <w:r w:rsidR="00561D44" w:rsidRPr="00561D44">
        <w:rPr>
          <w:lang w:val="et-EE"/>
        </w:rPr>
        <w:t>anti</w:t>
      </w:r>
      <w:r w:rsidR="00183387">
        <w:rPr>
          <w:lang w:val="et-EE"/>
        </w:rPr>
        <w:t>f</w:t>
      </w:r>
      <w:r w:rsidR="00561D44" w:rsidRPr="00561D44">
        <w:rPr>
          <w:lang w:val="et-EE"/>
        </w:rPr>
        <w:t>os</w:t>
      </w:r>
      <w:r w:rsidR="00183387">
        <w:rPr>
          <w:lang w:val="et-EE"/>
        </w:rPr>
        <w:t>f</w:t>
      </w:r>
      <w:r w:rsidR="00561D44" w:rsidRPr="00561D44">
        <w:rPr>
          <w:lang w:val="et-EE"/>
        </w:rPr>
        <w:t>olipi</w:t>
      </w:r>
      <w:r w:rsidR="00183387">
        <w:rPr>
          <w:lang w:val="et-EE"/>
        </w:rPr>
        <w:t>i</w:t>
      </w:r>
      <w:r w:rsidR="00561D44" w:rsidRPr="00561D44">
        <w:rPr>
          <w:lang w:val="et-EE"/>
        </w:rPr>
        <w:t>d</w:t>
      </w:r>
      <w:r w:rsidR="00183387">
        <w:rPr>
          <w:lang w:val="et-EE"/>
        </w:rPr>
        <w:t>sü</w:t>
      </w:r>
      <w:r w:rsidR="00561D44" w:rsidRPr="00561D44">
        <w:rPr>
          <w:lang w:val="et-EE"/>
        </w:rPr>
        <w:t>ndro</w:t>
      </w:r>
      <w:r w:rsidR="00183387">
        <w:rPr>
          <w:lang w:val="et-EE"/>
        </w:rPr>
        <w:t>o</w:t>
      </w:r>
      <w:r w:rsidR="00561D44" w:rsidRPr="00561D44">
        <w:rPr>
          <w:lang w:val="et-EE"/>
        </w:rPr>
        <w:t>me</w:t>
      </w:r>
      <w:proofErr w:type="spellEnd"/>
      <w:r w:rsidR="00561D44" w:rsidRPr="00561D44">
        <w:rPr>
          <w:lang w:val="et-EE"/>
        </w:rPr>
        <w:t>, fa</w:t>
      </w:r>
      <w:r w:rsidR="00183387">
        <w:rPr>
          <w:lang w:val="et-EE"/>
        </w:rPr>
        <w:t>k</w:t>
      </w:r>
      <w:r w:rsidR="00561D44" w:rsidRPr="00561D44">
        <w:rPr>
          <w:lang w:val="et-EE"/>
        </w:rPr>
        <w:t>tor</w:t>
      </w:r>
      <w:r w:rsidR="00183387">
        <w:rPr>
          <w:lang w:val="et-EE"/>
        </w:rPr>
        <w:t xml:space="preserve">i </w:t>
      </w:r>
      <w:r w:rsidR="00561D44" w:rsidRPr="00561D44">
        <w:rPr>
          <w:lang w:val="et-EE"/>
        </w:rPr>
        <w:t xml:space="preserve">V Leiden, </w:t>
      </w:r>
      <w:proofErr w:type="spellStart"/>
      <w:r w:rsidR="00561D44" w:rsidRPr="00561D44">
        <w:rPr>
          <w:lang w:val="et-EE"/>
        </w:rPr>
        <w:t>antitrombi</w:t>
      </w:r>
      <w:r w:rsidR="00183387">
        <w:rPr>
          <w:lang w:val="et-EE"/>
        </w:rPr>
        <w:t>i</w:t>
      </w:r>
      <w:r w:rsidR="00561D44" w:rsidRPr="00561D44">
        <w:rPr>
          <w:lang w:val="et-EE"/>
        </w:rPr>
        <w:t>n</w:t>
      </w:r>
      <w:r w:rsidR="00183387">
        <w:rPr>
          <w:lang w:val="et-EE"/>
        </w:rPr>
        <w:t>i</w:t>
      </w:r>
      <w:proofErr w:type="spellEnd"/>
      <w:r w:rsidR="00561D44" w:rsidRPr="00561D44">
        <w:rPr>
          <w:lang w:val="et-EE"/>
        </w:rPr>
        <w:t>, protei</w:t>
      </w:r>
      <w:r w:rsidR="00183387">
        <w:rPr>
          <w:lang w:val="et-EE"/>
        </w:rPr>
        <w:t>i</w:t>
      </w:r>
      <w:r w:rsidR="00561D44" w:rsidRPr="00561D44">
        <w:rPr>
          <w:lang w:val="et-EE"/>
        </w:rPr>
        <w:t>n</w:t>
      </w:r>
      <w:r w:rsidR="00183387">
        <w:rPr>
          <w:lang w:val="et-EE"/>
        </w:rPr>
        <w:t>i</w:t>
      </w:r>
      <w:r w:rsidR="00561D44" w:rsidRPr="00561D44">
        <w:rPr>
          <w:lang w:val="et-EE"/>
        </w:rPr>
        <w:t xml:space="preserve"> C </w:t>
      </w:r>
      <w:r w:rsidR="00183387">
        <w:rPr>
          <w:lang w:val="et-EE"/>
        </w:rPr>
        <w:t>või</w:t>
      </w:r>
      <w:r w:rsidR="00561D44" w:rsidRPr="00561D44">
        <w:rPr>
          <w:lang w:val="et-EE"/>
        </w:rPr>
        <w:t xml:space="preserve"> S </w:t>
      </w:r>
      <w:r w:rsidR="00183387">
        <w:rPr>
          <w:lang w:val="et-EE"/>
        </w:rPr>
        <w:t>puudulikkust).</w:t>
      </w:r>
      <w:r w:rsidR="00561D44" w:rsidRPr="00561D44">
        <w:rPr>
          <w:lang w:val="et-EE"/>
        </w:rPr>
        <w:t xml:space="preserve"> </w:t>
      </w:r>
    </w:p>
    <w:p w:rsidR="00183387" w:rsidRDefault="00183387" w:rsidP="00561D44"/>
    <w:tbl>
      <w:tblPr>
        <w:tblStyle w:val="TableGrid"/>
        <w:tblW w:w="0" w:type="auto"/>
        <w:tblLook w:val="04A0" w:firstRow="1" w:lastRow="0" w:firstColumn="1" w:lastColumn="0" w:noHBand="0" w:noVBand="1"/>
      </w:tblPr>
      <w:tblGrid>
        <w:gridCol w:w="1838"/>
        <w:gridCol w:w="3969"/>
        <w:gridCol w:w="3209"/>
      </w:tblGrid>
      <w:tr w:rsidR="005B220B" w:rsidTr="005B220B">
        <w:tc>
          <w:tcPr>
            <w:tcW w:w="1838" w:type="dxa"/>
          </w:tcPr>
          <w:p w:rsidR="005B220B" w:rsidRDefault="005B220B" w:rsidP="00561D44"/>
        </w:tc>
        <w:tc>
          <w:tcPr>
            <w:tcW w:w="3969" w:type="dxa"/>
          </w:tcPr>
          <w:p w:rsidR="005B220B" w:rsidRPr="005B220B" w:rsidRDefault="005B220B" w:rsidP="00561D44">
            <w:pPr>
              <w:rPr>
                <w:lang w:val="et-EE"/>
              </w:rPr>
            </w:pPr>
            <w:r>
              <w:rPr>
                <w:lang w:val="et-EE"/>
              </w:rPr>
              <w:t>Risk</w:t>
            </w:r>
          </w:p>
        </w:tc>
        <w:tc>
          <w:tcPr>
            <w:tcW w:w="3209" w:type="dxa"/>
          </w:tcPr>
          <w:p w:rsidR="005B220B" w:rsidRPr="005B220B" w:rsidRDefault="005B220B" w:rsidP="00561D44">
            <w:pPr>
              <w:rPr>
                <w:lang w:val="et-EE"/>
              </w:rPr>
            </w:pPr>
            <w:r>
              <w:rPr>
                <w:lang w:val="et-EE"/>
              </w:rPr>
              <w:t>SVT tõenäosus</w:t>
            </w:r>
          </w:p>
        </w:tc>
      </w:tr>
      <w:tr w:rsidR="005B220B" w:rsidTr="005B220B">
        <w:tc>
          <w:tcPr>
            <w:tcW w:w="1838" w:type="dxa"/>
          </w:tcPr>
          <w:p w:rsidR="005B220B" w:rsidRPr="005B220B" w:rsidRDefault="005B220B" w:rsidP="00561D44">
            <w:pPr>
              <w:rPr>
                <w:lang w:val="et-EE"/>
              </w:rPr>
            </w:pPr>
            <w:r>
              <w:rPr>
                <w:lang w:val="et-EE"/>
              </w:rPr>
              <w:t>Väike risk</w:t>
            </w:r>
          </w:p>
        </w:tc>
        <w:tc>
          <w:tcPr>
            <w:tcW w:w="3969" w:type="dxa"/>
          </w:tcPr>
          <w:p w:rsidR="005B220B" w:rsidRPr="005B220B" w:rsidRDefault="005B220B" w:rsidP="00561D44">
            <w:pPr>
              <w:rPr>
                <w:lang w:val="et-EE"/>
              </w:rPr>
            </w:pPr>
            <w:r>
              <w:rPr>
                <w:lang w:val="et-EE"/>
              </w:rPr>
              <w:t>Riskifaktoreid pole</w:t>
            </w:r>
          </w:p>
        </w:tc>
        <w:tc>
          <w:tcPr>
            <w:tcW w:w="3209" w:type="dxa"/>
          </w:tcPr>
          <w:p w:rsidR="005B220B" w:rsidRPr="005B220B" w:rsidRDefault="005B220B" w:rsidP="00561D44">
            <w:pPr>
              <w:rPr>
                <w:lang w:val="et-EE"/>
              </w:rPr>
            </w:pPr>
            <w:r>
              <w:rPr>
                <w:lang w:val="et-EE"/>
              </w:rPr>
              <w:t>1x</w:t>
            </w:r>
          </w:p>
        </w:tc>
      </w:tr>
      <w:tr w:rsidR="005B220B" w:rsidTr="005B220B">
        <w:tc>
          <w:tcPr>
            <w:tcW w:w="1838" w:type="dxa"/>
          </w:tcPr>
          <w:p w:rsidR="005B220B" w:rsidRPr="005B220B" w:rsidRDefault="005B220B" w:rsidP="00561D44">
            <w:pPr>
              <w:rPr>
                <w:lang w:val="et-EE"/>
              </w:rPr>
            </w:pPr>
            <w:r>
              <w:rPr>
                <w:lang w:val="et-EE"/>
              </w:rPr>
              <w:t>Keskmine risk</w:t>
            </w:r>
          </w:p>
        </w:tc>
        <w:tc>
          <w:tcPr>
            <w:tcW w:w="3969" w:type="dxa"/>
          </w:tcPr>
          <w:p w:rsidR="005B220B" w:rsidRDefault="005B220B" w:rsidP="00561D44">
            <w:pPr>
              <w:rPr>
                <w:lang w:val="et-EE"/>
              </w:rPr>
            </w:pPr>
            <w:r>
              <w:rPr>
                <w:lang w:val="et-EE"/>
              </w:rPr>
              <w:t>Üks järgmistest:</w:t>
            </w:r>
          </w:p>
          <w:p w:rsidR="005B220B" w:rsidRDefault="005B220B" w:rsidP="00561D44">
            <w:pPr>
              <w:rPr>
                <w:lang w:val="et-EE"/>
              </w:rPr>
            </w:pPr>
            <w:r>
              <w:rPr>
                <w:lang w:val="et-EE"/>
              </w:rPr>
              <w:t>Vanus 75 aastat ja vanem</w:t>
            </w:r>
          </w:p>
          <w:p w:rsidR="005B220B" w:rsidRDefault="005B220B" w:rsidP="00561D44">
            <w:pPr>
              <w:rPr>
                <w:lang w:val="et-EE"/>
              </w:rPr>
            </w:pPr>
            <w:r>
              <w:rPr>
                <w:lang w:val="et-EE"/>
              </w:rPr>
              <w:t>KMI 35 ja rohkem</w:t>
            </w:r>
          </w:p>
          <w:p w:rsidR="005B220B" w:rsidRPr="005B220B" w:rsidRDefault="005B220B" w:rsidP="00561D44">
            <w:pPr>
              <w:rPr>
                <w:lang w:val="et-EE"/>
              </w:rPr>
            </w:pPr>
            <w:r>
              <w:rPr>
                <w:lang w:val="et-EE"/>
              </w:rPr>
              <w:t>SVT 1.astme sugulasel</w:t>
            </w:r>
          </w:p>
        </w:tc>
        <w:tc>
          <w:tcPr>
            <w:tcW w:w="3209" w:type="dxa"/>
          </w:tcPr>
          <w:p w:rsidR="005B220B" w:rsidRPr="005B220B" w:rsidRDefault="005B220B" w:rsidP="00561D44">
            <w:pPr>
              <w:rPr>
                <w:lang w:val="et-EE"/>
              </w:rPr>
            </w:pPr>
            <w:r>
              <w:rPr>
                <w:lang w:val="et-EE"/>
              </w:rPr>
              <w:t>2x</w:t>
            </w:r>
          </w:p>
        </w:tc>
      </w:tr>
      <w:tr w:rsidR="005B220B" w:rsidTr="005B220B">
        <w:tc>
          <w:tcPr>
            <w:tcW w:w="1838" w:type="dxa"/>
          </w:tcPr>
          <w:p w:rsidR="005B220B" w:rsidRPr="005B220B" w:rsidRDefault="005B220B" w:rsidP="00561D44">
            <w:pPr>
              <w:rPr>
                <w:lang w:val="et-EE"/>
              </w:rPr>
            </w:pPr>
            <w:r>
              <w:rPr>
                <w:lang w:val="et-EE"/>
              </w:rPr>
              <w:t>Suur risk</w:t>
            </w:r>
          </w:p>
        </w:tc>
        <w:tc>
          <w:tcPr>
            <w:tcW w:w="3969" w:type="dxa"/>
          </w:tcPr>
          <w:p w:rsidR="005B220B" w:rsidRDefault="005B220B" w:rsidP="00561D44">
            <w:pPr>
              <w:rPr>
                <w:lang w:val="et-EE"/>
              </w:rPr>
            </w:pPr>
            <w:r>
              <w:rPr>
                <w:lang w:val="et-EE"/>
              </w:rPr>
              <w:t xml:space="preserve">2 või rohkem ülalmainitud riskifaktorit </w:t>
            </w:r>
          </w:p>
          <w:p w:rsidR="005B220B" w:rsidRPr="005B220B" w:rsidRDefault="005B220B" w:rsidP="00561D44">
            <w:pPr>
              <w:rPr>
                <w:lang w:val="et-EE"/>
              </w:rPr>
            </w:pPr>
            <w:r>
              <w:rPr>
                <w:lang w:val="et-EE"/>
              </w:rPr>
              <w:t>SVT episood anamneesis</w:t>
            </w:r>
          </w:p>
        </w:tc>
        <w:tc>
          <w:tcPr>
            <w:tcW w:w="3209" w:type="dxa"/>
          </w:tcPr>
          <w:p w:rsidR="005B220B" w:rsidRPr="005B220B" w:rsidRDefault="005B220B" w:rsidP="00561D44">
            <w:pPr>
              <w:rPr>
                <w:lang w:val="et-EE"/>
              </w:rPr>
            </w:pPr>
            <w:r>
              <w:rPr>
                <w:lang w:val="et-EE"/>
              </w:rPr>
              <w:t>4x</w:t>
            </w:r>
          </w:p>
        </w:tc>
      </w:tr>
    </w:tbl>
    <w:p w:rsidR="00183387" w:rsidRDefault="00183387" w:rsidP="00561D44"/>
    <w:p w:rsidR="005B220B" w:rsidRPr="005B220B" w:rsidRDefault="005B220B" w:rsidP="005B220B">
      <w:pPr>
        <w:rPr>
          <w:lang w:val="et-EE"/>
        </w:rPr>
      </w:pPr>
      <w:r>
        <w:rPr>
          <w:lang w:val="et-EE"/>
        </w:rPr>
        <w:t xml:space="preserve">Kõik soovitused põhinevad profülaktika alustamisel </w:t>
      </w:r>
      <w:r w:rsidRPr="00665DE7">
        <w:rPr>
          <w:b/>
          <w:bCs/>
          <w:lang w:val="et-EE"/>
        </w:rPr>
        <w:t>operatsioonijärgsel hommikul</w:t>
      </w:r>
      <w:r>
        <w:rPr>
          <w:lang w:val="et-EE"/>
        </w:rPr>
        <w:t>.</w:t>
      </w:r>
    </w:p>
    <w:p w:rsidR="005B220B" w:rsidRDefault="00FD0B8C" w:rsidP="005B220B">
      <w:pPr>
        <w:rPr>
          <w:lang w:val="et-EE"/>
        </w:rPr>
      </w:pPr>
      <w:r>
        <w:rPr>
          <w:lang w:val="et-EE"/>
        </w:rPr>
        <w:t>Farmakoloogilise p</w:t>
      </w:r>
      <w:r w:rsidR="005B220B">
        <w:rPr>
          <w:lang w:val="et-EE"/>
        </w:rPr>
        <w:t xml:space="preserve">rofülaktika soovitatav kestvus on </w:t>
      </w:r>
      <w:r w:rsidR="005B220B" w:rsidRPr="00665DE7">
        <w:rPr>
          <w:b/>
          <w:bCs/>
          <w:lang w:val="et-EE"/>
        </w:rPr>
        <w:t>4 nädalat</w:t>
      </w:r>
      <w:r w:rsidR="005B220B">
        <w:rPr>
          <w:lang w:val="et-EE"/>
        </w:rPr>
        <w:t>.</w:t>
      </w:r>
      <w:r>
        <w:rPr>
          <w:lang w:val="et-EE"/>
        </w:rPr>
        <w:t xml:space="preserve"> </w:t>
      </w:r>
    </w:p>
    <w:p w:rsidR="00374D0D" w:rsidRDefault="00374D0D" w:rsidP="00374D0D">
      <w:pPr>
        <w:rPr>
          <w:lang w:val="et-EE"/>
        </w:rPr>
      </w:pPr>
    </w:p>
    <w:p w:rsidR="000128F2" w:rsidRDefault="005B220B" w:rsidP="000128F2">
      <w:pPr>
        <w:pStyle w:val="Heading4"/>
        <w:rPr>
          <w:lang w:val="et-EE"/>
        </w:rPr>
      </w:pPr>
      <w:r w:rsidRPr="000128F2">
        <w:t>Farmakoloogilise profülaktika variandid</w:t>
      </w:r>
    </w:p>
    <w:tbl>
      <w:tblPr>
        <w:tblStyle w:val="TableGrid"/>
        <w:tblW w:w="0" w:type="auto"/>
        <w:tblLook w:val="04A0" w:firstRow="1" w:lastRow="0" w:firstColumn="1" w:lastColumn="0" w:noHBand="0" w:noVBand="1"/>
      </w:tblPr>
      <w:tblGrid>
        <w:gridCol w:w="5807"/>
        <w:gridCol w:w="3209"/>
      </w:tblGrid>
      <w:tr w:rsidR="005B220B" w:rsidTr="005B220B">
        <w:tc>
          <w:tcPr>
            <w:tcW w:w="5807" w:type="dxa"/>
          </w:tcPr>
          <w:p w:rsidR="005B220B" w:rsidRDefault="005B220B" w:rsidP="00374D0D">
            <w:pPr>
              <w:rPr>
                <w:lang w:val="et-EE"/>
              </w:rPr>
            </w:pPr>
            <w:r>
              <w:rPr>
                <w:lang w:val="et-EE"/>
              </w:rPr>
              <w:t>Ravim</w:t>
            </w:r>
          </w:p>
        </w:tc>
        <w:tc>
          <w:tcPr>
            <w:tcW w:w="3209" w:type="dxa"/>
          </w:tcPr>
          <w:p w:rsidR="005B220B" w:rsidRDefault="005B220B" w:rsidP="00374D0D">
            <w:pPr>
              <w:rPr>
                <w:lang w:val="et-EE"/>
              </w:rPr>
            </w:pPr>
            <w:r>
              <w:rPr>
                <w:lang w:val="et-EE"/>
              </w:rPr>
              <w:t>Annus</w:t>
            </w:r>
          </w:p>
        </w:tc>
      </w:tr>
      <w:tr w:rsidR="005B220B" w:rsidTr="005B220B">
        <w:tc>
          <w:tcPr>
            <w:tcW w:w="5807" w:type="dxa"/>
          </w:tcPr>
          <w:p w:rsidR="005B220B" w:rsidRDefault="005B220B" w:rsidP="00374D0D">
            <w:pPr>
              <w:rPr>
                <w:lang w:val="et-EE"/>
              </w:rPr>
            </w:pPr>
            <w:r>
              <w:rPr>
                <w:lang w:val="et-EE"/>
              </w:rPr>
              <w:t xml:space="preserve">Madalmolekulaarsed </w:t>
            </w:r>
            <w:proofErr w:type="spellStart"/>
            <w:r>
              <w:rPr>
                <w:lang w:val="et-EE"/>
              </w:rPr>
              <w:t>hepariinid</w:t>
            </w:r>
            <w:proofErr w:type="spellEnd"/>
            <w:r>
              <w:rPr>
                <w:lang w:val="et-EE"/>
              </w:rPr>
              <w:t>:</w:t>
            </w:r>
          </w:p>
        </w:tc>
        <w:tc>
          <w:tcPr>
            <w:tcW w:w="3209" w:type="dxa"/>
          </w:tcPr>
          <w:p w:rsidR="005B220B" w:rsidRDefault="005B220B" w:rsidP="00374D0D">
            <w:pPr>
              <w:rPr>
                <w:lang w:val="et-EE"/>
              </w:rPr>
            </w:pPr>
          </w:p>
        </w:tc>
      </w:tr>
      <w:tr w:rsidR="005B220B" w:rsidTr="005B220B">
        <w:tc>
          <w:tcPr>
            <w:tcW w:w="5807" w:type="dxa"/>
          </w:tcPr>
          <w:p w:rsidR="005B220B" w:rsidRDefault="005B220B" w:rsidP="005B220B">
            <w:pPr>
              <w:jc w:val="center"/>
              <w:rPr>
                <w:lang w:val="et-EE"/>
              </w:rPr>
            </w:pPr>
            <w:proofErr w:type="spellStart"/>
            <w:r>
              <w:rPr>
                <w:lang w:val="et-EE"/>
              </w:rPr>
              <w:t>daltepariin</w:t>
            </w:r>
            <w:proofErr w:type="spellEnd"/>
          </w:p>
        </w:tc>
        <w:tc>
          <w:tcPr>
            <w:tcW w:w="3209" w:type="dxa"/>
          </w:tcPr>
          <w:p w:rsidR="005B220B" w:rsidRDefault="005B220B" w:rsidP="00374D0D">
            <w:pPr>
              <w:rPr>
                <w:lang w:val="et-EE"/>
              </w:rPr>
            </w:pPr>
            <w:r>
              <w:rPr>
                <w:lang w:val="et-EE"/>
              </w:rPr>
              <w:t>5000 TÜ kord päevas</w:t>
            </w:r>
          </w:p>
        </w:tc>
      </w:tr>
      <w:tr w:rsidR="005B220B" w:rsidTr="005B220B">
        <w:tc>
          <w:tcPr>
            <w:tcW w:w="5807" w:type="dxa"/>
          </w:tcPr>
          <w:p w:rsidR="005B220B" w:rsidRDefault="005B220B" w:rsidP="005B220B">
            <w:pPr>
              <w:jc w:val="center"/>
              <w:rPr>
                <w:lang w:val="et-EE"/>
              </w:rPr>
            </w:pPr>
            <w:proofErr w:type="spellStart"/>
            <w:r>
              <w:rPr>
                <w:lang w:val="et-EE"/>
              </w:rPr>
              <w:t>enoksapariin</w:t>
            </w:r>
            <w:proofErr w:type="spellEnd"/>
          </w:p>
        </w:tc>
        <w:tc>
          <w:tcPr>
            <w:tcW w:w="3209" w:type="dxa"/>
          </w:tcPr>
          <w:p w:rsidR="005B220B" w:rsidRDefault="005B220B" w:rsidP="00374D0D">
            <w:pPr>
              <w:rPr>
                <w:lang w:val="et-EE"/>
              </w:rPr>
            </w:pPr>
            <w:r>
              <w:rPr>
                <w:lang w:val="et-EE"/>
              </w:rPr>
              <w:t>40 mg (4000 TÜ) kord päevas</w:t>
            </w:r>
          </w:p>
        </w:tc>
      </w:tr>
      <w:tr w:rsidR="005B220B" w:rsidTr="005B220B">
        <w:tc>
          <w:tcPr>
            <w:tcW w:w="5807" w:type="dxa"/>
          </w:tcPr>
          <w:p w:rsidR="005B220B" w:rsidRDefault="005B220B" w:rsidP="005B220B">
            <w:pPr>
              <w:jc w:val="center"/>
              <w:rPr>
                <w:lang w:val="et-EE"/>
              </w:rPr>
            </w:pPr>
            <w:proofErr w:type="spellStart"/>
            <w:r>
              <w:rPr>
                <w:lang w:val="et-EE"/>
              </w:rPr>
              <w:t>tinzapariin</w:t>
            </w:r>
            <w:proofErr w:type="spellEnd"/>
          </w:p>
        </w:tc>
        <w:tc>
          <w:tcPr>
            <w:tcW w:w="3209" w:type="dxa"/>
          </w:tcPr>
          <w:p w:rsidR="005B220B" w:rsidRDefault="005B220B" w:rsidP="00374D0D">
            <w:pPr>
              <w:rPr>
                <w:lang w:val="et-EE"/>
              </w:rPr>
            </w:pPr>
            <w:r>
              <w:rPr>
                <w:lang w:val="et-EE"/>
              </w:rPr>
              <w:t>3500/4500 TÜ kord päevas</w:t>
            </w:r>
          </w:p>
        </w:tc>
      </w:tr>
      <w:tr w:rsidR="005B220B" w:rsidTr="005B220B">
        <w:tc>
          <w:tcPr>
            <w:tcW w:w="5807" w:type="dxa"/>
          </w:tcPr>
          <w:p w:rsidR="005B220B" w:rsidRDefault="005B220B" w:rsidP="00374D0D">
            <w:pPr>
              <w:rPr>
                <w:lang w:val="et-EE"/>
              </w:rPr>
            </w:pPr>
            <w:r>
              <w:rPr>
                <w:lang w:val="et-EE"/>
              </w:rPr>
              <w:t>Mitte-</w:t>
            </w:r>
            <w:proofErr w:type="spellStart"/>
            <w:r>
              <w:rPr>
                <w:lang w:val="et-EE"/>
              </w:rPr>
              <w:t>fraktsioneeritud</w:t>
            </w:r>
            <w:proofErr w:type="spellEnd"/>
            <w:r>
              <w:rPr>
                <w:lang w:val="et-EE"/>
              </w:rPr>
              <w:t xml:space="preserve"> </w:t>
            </w:r>
            <w:proofErr w:type="spellStart"/>
            <w:r>
              <w:rPr>
                <w:lang w:val="et-EE"/>
              </w:rPr>
              <w:t>hepariin</w:t>
            </w:r>
            <w:proofErr w:type="spellEnd"/>
          </w:p>
        </w:tc>
        <w:tc>
          <w:tcPr>
            <w:tcW w:w="3209" w:type="dxa"/>
          </w:tcPr>
          <w:p w:rsidR="005B220B" w:rsidRDefault="005B220B" w:rsidP="00374D0D">
            <w:pPr>
              <w:rPr>
                <w:lang w:val="et-EE"/>
              </w:rPr>
            </w:pPr>
            <w:r>
              <w:rPr>
                <w:lang w:val="et-EE"/>
              </w:rPr>
              <w:t>5000 TÜ 2-3 korda päevas</w:t>
            </w:r>
          </w:p>
        </w:tc>
      </w:tr>
      <w:tr w:rsidR="005B220B" w:rsidTr="005B220B">
        <w:tc>
          <w:tcPr>
            <w:tcW w:w="5807" w:type="dxa"/>
          </w:tcPr>
          <w:p w:rsidR="005B220B" w:rsidRDefault="005B220B" w:rsidP="00374D0D">
            <w:pPr>
              <w:rPr>
                <w:lang w:val="et-EE"/>
              </w:rPr>
            </w:pPr>
            <w:proofErr w:type="spellStart"/>
            <w:r>
              <w:rPr>
                <w:lang w:val="et-EE"/>
              </w:rPr>
              <w:t>Fondaparinux</w:t>
            </w:r>
            <w:proofErr w:type="spellEnd"/>
          </w:p>
        </w:tc>
        <w:tc>
          <w:tcPr>
            <w:tcW w:w="3209" w:type="dxa"/>
          </w:tcPr>
          <w:p w:rsidR="005B220B" w:rsidRDefault="005B220B" w:rsidP="00374D0D">
            <w:pPr>
              <w:rPr>
                <w:lang w:val="et-EE"/>
              </w:rPr>
            </w:pPr>
            <w:r>
              <w:rPr>
                <w:lang w:val="et-EE"/>
              </w:rPr>
              <w:t>2.5mg kord päevas</w:t>
            </w:r>
          </w:p>
        </w:tc>
      </w:tr>
      <w:tr w:rsidR="005B220B" w:rsidTr="005B220B">
        <w:tc>
          <w:tcPr>
            <w:tcW w:w="5807" w:type="dxa"/>
          </w:tcPr>
          <w:p w:rsidR="005B220B" w:rsidRDefault="005B220B" w:rsidP="00374D0D">
            <w:pPr>
              <w:rPr>
                <w:lang w:val="et-EE"/>
              </w:rPr>
            </w:pPr>
            <w:r>
              <w:rPr>
                <w:lang w:val="et-EE"/>
              </w:rPr>
              <w:t xml:space="preserve">Direktse toimega suukaudsed </w:t>
            </w:r>
            <w:proofErr w:type="spellStart"/>
            <w:r>
              <w:rPr>
                <w:lang w:val="et-EE"/>
              </w:rPr>
              <w:t>antikoagulandid</w:t>
            </w:r>
            <w:proofErr w:type="spellEnd"/>
            <w:r>
              <w:rPr>
                <w:lang w:val="et-EE"/>
              </w:rPr>
              <w:t xml:space="preserve"> (DOAC):</w:t>
            </w:r>
          </w:p>
        </w:tc>
        <w:tc>
          <w:tcPr>
            <w:tcW w:w="3209" w:type="dxa"/>
          </w:tcPr>
          <w:p w:rsidR="005B220B" w:rsidRDefault="005B220B" w:rsidP="00374D0D">
            <w:pPr>
              <w:rPr>
                <w:lang w:val="et-EE"/>
              </w:rPr>
            </w:pPr>
          </w:p>
        </w:tc>
      </w:tr>
      <w:tr w:rsidR="005B220B" w:rsidTr="005B220B">
        <w:tc>
          <w:tcPr>
            <w:tcW w:w="5807" w:type="dxa"/>
          </w:tcPr>
          <w:p w:rsidR="005B220B" w:rsidRDefault="005B220B" w:rsidP="005B220B">
            <w:pPr>
              <w:jc w:val="center"/>
              <w:rPr>
                <w:lang w:val="et-EE"/>
              </w:rPr>
            </w:pPr>
            <w:proofErr w:type="spellStart"/>
            <w:r>
              <w:rPr>
                <w:lang w:val="et-EE"/>
              </w:rPr>
              <w:t>Dabigatran</w:t>
            </w:r>
            <w:proofErr w:type="spellEnd"/>
            <w:r>
              <w:rPr>
                <w:lang w:val="et-EE"/>
              </w:rPr>
              <w:t xml:space="preserve"> (</w:t>
            </w:r>
            <w:proofErr w:type="spellStart"/>
            <w:r>
              <w:rPr>
                <w:lang w:val="et-EE"/>
              </w:rPr>
              <w:t>Pradaxa</w:t>
            </w:r>
            <w:proofErr w:type="spellEnd"/>
            <w:r>
              <w:rPr>
                <w:lang w:val="et-EE"/>
              </w:rPr>
              <w:t>)</w:t>
            </w:r>
          </w:p>
        </w:tc>
        <w:tc>
          <w:tcPr>
            <w:tcW w:w="3209" w:type="dxa"/>
          </w:tcPr>
          <w:p w:rsidR="005B220B" w:rsidRDefault="005B220B" w:rsidP="00374D0D">
            <w:pPr>
              <w:rPr>
                <w:lang w:val="et-EE"/>
              </w:rPr>
            </w:pPr>
            <w:r>
              <w:rPr>
                <w:lang w:val="et-EE"/>
              </w:rPr>
              <w:t>220 mg kord päevas</w:t>
            </w:r>
          </w:p>
        </w:tc>
      </w:tr>
      <w:tr w:rsidR="005B220B" w:rsidTr="005B220B">
        <w:tc>
          <w:tcPr>
            <w:tcW w:w="5807" w:type="dxa"/>
          </w:tcPr>
          <w:p w:rsidR="005B220B" w:rsidRDefault="005B220B" w:rsidP="005B220B">
            <w:pPr>
              <w:jc w:val="center"/>
              <w:rPr>
                <w:lang w:val="et-EE"/>
              </w:rPr>
            </w:pPr>
            <w:proofErr w:type="spellStart"/>
            <w:r>
              <w:rPr>
                <w:lang w:val="et-EE"/>
              </w:rPr>
              <w:t>Apixaban</w:t>
            </w:r>
            <w:proofErr w:type="spellEnd"/>
            <w:r>
              <w:rPr>
                <w:lang w:val="et-EE"/>
              </w:rPr>
              <w:t xml:space="preserve"> (</w:t>
            </w:r>
            <w:proofErr w:type="spellStart"/>
            <w:r>
              <w:rPr>
                <w:lang w:val="et-EE"/>
              </w:rPr>
              <w:t>Eliquis</w:t>
            </w:r>
            <w:proofErr w:type="spellEnd"/>
            <w:r>
              <w:rPr>
                <w:lang w:val="et-EE"/>
              </w:rPr>
              <w:t>)</w:t>
            </w:r>
          </w:p>
        </w:tc>
        <w:tc>
          <w:tcPr>
            <w:tcW w:w="3209" w:type="dxa"/>
          </w:tcPr>
          <w:p w:rsidR="005B220B" w:rsidRDefault="005B220B" w:rsidP="00374D0D">
            <w:pPr>
              <w:rPr>
                <w:lang w:val="et-EE"/>
              </w:rPr>
            </w:pPr>
            <w:r>
              <w:rPr>
                <w:lang w:val="et-EE"/>
              </w:rPr>
              <w:t xml:space="preserve">2.5 mg </w:t>
            </w:r>
            <w:r w:rsidR="00665DE7">
              <w:rPr>
                <w:lang w:val="et-EE"/>
              </w:rPr>
              <w:t xml:space="preserve">2 </w:t>
            </w:r>
            <w:r>
              <w:rPr>
                <w:lang w:val="et-EE"/>
              </w:rPr>
              <w:t>kord</w:t>
            </w:r>
            <w:r w:rsidR="00665DE7">
              <w:rPr>
                <w:lang w:val="et-EE"/>
              </w:rPr>
              <w:t>a</w:t>
            </w:r>
            <w:r>
              <w:rPr>
                <w:lang w:val="et-EE"/>
              </w:rPr>
              <w:t xml:space="preserve"> päevas</w:t>
            </w:r>
          </w:p>
        </w:tc>
      </w:tr>
      <w:tr w:rsidR="005B220B" w:rsidTr="005B220B">
        <w:tc>
          <w:tcPr>
            <w:tcW w:w="5807" w:type="dxa"/>
          </w:tcPr>
          <w:p w:rsidR="005B220B" w:rsidRDefault="005B220B" w:rsidP="005B220B">
            <w:pPr>
              <w:jc w:val="center"/>
              <w:rPr>
                <w:lang w:val="et-EE"/>
              </w:rPr>
            </w:pPr>
            <w:proofErr w:type="spellStart"/>
            <w:r>
              <w:rPr>
                <w:lang w:val="et-EE"/>
              </w:rPr>
              <w:t>Edoxaban</w:t>
            </w:r>
            <w:proofErr w:type="spellEnd"/>
            <w:r>
              <w:rPr>
                <w:lang w:val="et-EE"/>
              </w:rPr>
              <w:t xml:space="preserve"> (</w:t>
            </w:r>
            <w:proofErr w:type="spellStart"/>
            <w:r>
              <w:rPr>
                <w:lang w:val="et-EE"/>
              </w:rPr>
              <w:t>Lixiana</w:t>
            </w:r>
            <w:proofErr w:type="spellEnd"/>
            <w:r>
              <w:rPr>
                <w:lang w:val="et-EE"/>
              </w:rPr>
              <w:t>)</w:t>
            </w:r>
          </w:p>
        </w:tc>
        <w:tc>
          <w:tcPr>
            <w:tcW w:w="3209" w:type="dxa"/>
          </w:tcPr>
          <w:p w:rsidR="005B220B" w:rsidRDefault="005B220B" w:rsidP="00374D0D">
            <w:pPr>
              <w:rPr>
                <w:lang w:val="et-EE"/>
              </w:rPr>
            </w:pPr>
            <w:r>
              <w:rPr>
                <w:lang w:val="et-EE"/>
              </w:rPr>
              <w:t>30mg kord päevas</w:t>
            </w:r>
          </w:p>
        </w:tc>
      </w:tr>
      <w:tr w:rsidR="005B220B" w:rsidTr="005B220B">
        <w:tc>
          <w:tcPr>
            <w:tcW w:w="5807" w:type="dxa"/>
          </w:tcPr>
          <w:p w:rsidR="005B220B" w:rsidRDefault="005B220B" w:rsidP="005B220B">
            <w:pPr>
              <w:jc w:val="center"/>
              <w:rPr>
                <w:lang w:val="et-EE"/>
              </w:rPr>
            </w:pPr>
            <w:proofErr w:type="spellStart"/>
            <w:r>
              <w:rPr>
                <w:lang w:val="et-EE"/>
              </w:rPr>
              <w:t>Rivaroxaban</w:t>
            </w:r>
            <w:proofErr w:type="spellEnd"/>
            <w:r>
              <w:rPr>
                <w:lang w:val="et-EE"/>
              </w:rPr>
              <w:t xml:space="preserve"> (</w:t>
            </w:r>
            <w:proofErr w:type="spellStart"/>
            <w:r>
              <w:rPr>
                <w:lang w:val="et-EE"/>
              </w:rPr>
              <w:t>Xarelto</w:t>
            </w:r>
            <w:proofErr w:type="spellEnd"/>
            <w:r>
              <w:rPr>
                <w:lang w:val="et-EE"/>
              </w:rPr>
              <w:t>)</w:t>
            </w:r>
          </w:p>
        </w:tc>
        <w:tc>
          <w:tcPr>
            <w:tcW w:w="3209" w:type="dxa"/>
          </w:tcPr>
          <w:p w:rsidR="005B220B" w:rsidRDefault="005B220B" w:rsidP="00374D0D">
            <w:pPr>
              <w:rPr>
                <w:lang w:val="et-EE"/>
              </w:rPr>
            </w:pPr>
            <w:r>
              <w:rPr>
                <w:lang w:val="et-EE"/>
              </w:rPr>
              <w:t>10 mg kord päevas</w:t>
            </w:r>
          </w:p>
        </w:tc>
      </w:tr>
    </w:tbl>
    <w:p w:rsidR="005B220B" w:rsidRDefault="005B220B" w:rsidP="00374D0D">
      <w:pPr>
        <w:rPr>
          <w:lang w:val="et-EE"/>
        </w:rPr>
      </w:pPr>
    </w:p>
    <w:p w:rsidR="00FD0B8C" w:rsidRDefault="00FD0B8C">
      <w:pPr>
        <w:rPr>
          <w:rFonts w:asciiTheme="majorHAnsi" w:eastAsiaTheme="majorEastAsia" w:hAnsiTheme="majorHAnsi" w:cstheme="majorBidi"/>
          <w:i/>
          <w:iCs/>
          <w:color w:val="2F5496" w:themeColor="accent1" w:themeShade="BF"/>
          <w:lang w:val="et-EE"/>
        </w:rPr>
      </w:pPr>
      <w:r>
        <w:rPr>
          <w:lang w:val="et-EE"/>
        </w:rPr>
        <w:br w:type="page"/>
      </w:r>
    </w:p>
    <w:p w:rsidR="000128F2" w:rsidRDefault="000128F2" w:rsidP="000128F2">
      <w:pPr>
        <w:pStyle w:val="Heading4"/>
        <w:rPr>
          <w:lang w:val="et-EE"/>
        </w:rPr>
      </w:pPr>
      <w:r>
        <w:rPr>
          <w:lang w:val="et-EE"/>
        </w:rPr>
        <w:lastRenderedPageBreak/>
        <w:t>Soovitus</w:t>
      </w:r>
      <w:r w:rsidR="00FD0B8C">
        <w:rPr>
          <w:lang w:val="et-EE"/>
        </w:rPr>
        <w:t>te kokkuvõte</w:t>
      </w:r>
    </w:p>
    <w:p w:rsidR="0090341A" w:rsidRPr="000128F2" w:rsidRDefault="0090341A" w:rsidP="000128F2">
      <w:pPr>
        <w:rPr>
          <w:lang w:val="et-EE"/>
        </w:rPr>
      </w:pPr>
    </w:p>
    <w:tbl>
      <w:tblPr>
        <w:tblStyle w:val="TableGrid"/>
        <w:tblW w:w="9351" w:type="dxa"/>
        <w:tblLook w:val="04A0" w:firstRow="1" w:lastRow="0" w:firstColumn="1" w:lastColumn="0" w:noHBand="0" w:noVBand="1"/>
      </w:tblPr>
      <w:tblGrid>
        <w:gridCol w:w="2095"/>
        <w:gridCol w:w="2326"/>
        <w:gridCol w:w="2386"/>
        <w:gridCol w:w="2544"/>
      </w:tblGrid>
      <w:tr w:rsidR="00D875E7" w:rsidTr="007A72D9">
        <w:tc>
          <w:tcPr>
            <w:tcW w:w="2095" w:type="dxa"/>
            <w:tcBorders>
              <w:bottom w:val="thinThickSmallGap" w:sz="24" w:space="0" w:color="000000"/>
            </w:tcBorders>
          </w:tcPr>
          <w:p w:rsidR="00D875E7" w:rsidRPr="00831942" w:rsidRDefault="00D875E7" w:rsidP="00374D0D">
            <w:pPr>
              <w:rPr>
                <w:b/>
                <w:bCs/>
                <w:lang w:val="et-EE"/>
              </w:rPr>
            </w:pPr>
            <w:r w:rsidRPr="00831942">
              <w:rPr>
                <w:b/>
                <w:bCs/>
                <w:lang w:val="et-EE"/>
              </w:rPr>
              <w:t>Operatsioon</w:t>
            </w:r>
          </w:p>
        </w:tc>
        <w:tc>
          <w:tcPr>
            <w:tcW w:w="2326" w:type="dxa"/>
            <w:tcBorders>
              <w:bottom w:val="thinThickSmallGap" w:sz="24" w:space="0" w:color="000000"/>
            </w:tcBorders>
          </w:tcPr>
          <w:p w:rsidR="00D875E7" w:rsidRPr="00831942" w:rsidRDefault="007A72D9" w:rsidP="00374D0D">
            <w:pPr>
              <w:rPr>
                <w:b/>
                <w:bCs/>
                <w:lang w:val="et-EE"/>
              </w:rPr>
            </w:pPr>
            <w:r>
              <w:rPr>
                <w:b/>
                <w:bCs/>
                <w:lang w:val="et-EE"/>
              </w:rPr>
              <w:t>Operatsiooni t</w:t>
            </w:r>
            <w:r w:rsidR="00D875E7" w:rsidRPr="00831942">
              <w:rPr>
                <w:b/>
                <w:bCs/>
                <w:lang w:val="et-EE"/>
              </w:rPr>
              <w:t xml:space="preserve">üüp </w:t>
            </w:r>
          </w:p>
        </w:tc>
        <w:tc>
          <w:tcPr>
            <w:tcW w:w="2386" w:type="dxa"/>
            <w:tcBorders>
              <w:bottom w:val="thinThickSmallGap" w:sz="24" w:space="0" w:color="000000"/>
            </w:tcBorders>
          </w:tcPr>
          <w:p w:rsidR="00D875E7" w:rsidRPr="00831942" w:rsidRDefault="00D875E7" w:rsidP="00374D0D">
            <w:pPr>
              <w:rPr>
                <w:b/>
                <w:bCs/>
                <w:lang w:val="et-EE"/>
              </w:rPr>
            </w:pPr>
            <w:proofErr w:type="spellStart"/>
            <w:r w:rsidRPr="00831942">
              <w:rPr>
                <w:b/>
                <w:bCs/>
                <w:lang w:val="et-EE"/>
              </w:rPr>
              <w:t>Medikamentoosse</w:t>
            </w:r>
            <w:proofErr w:type="spellEnd"/>
            <w:r w:rsidRPr="00831942">
              <w:rPr>
                <w:b/>
                <w:bCs/>
                <w:lang w:val="et-EE"/>
              </w:rPr>
              <w:t xml:space="preserve"> profülaktika soovitus</w:t>
            </w:r>
          </w:p>
          <w:p w:rsidR="00D875E7" w:rsidRPr="00831942" w:rsidRDefault="00D875E7" w:rsidP="00374D0D">
            <w:pPr>
              <w:rPr>
                <w:b/>
                <w:bCs/>
                <w:lang w:val="et-EE"/>
              </w:rPr>
            </w:pPr>
            <w:r w:rsidRPr="00831942">
              <w:rPr>
                <w:b/>
                <w:bCs/>
                <w:lang w:val="et-EE"/>
              </w:rPr>
              <w:t>(4 nädalat)</w:t>
            </w:r>
          </w:p>
        </w:tc>
        <w:tc>
          <w:tcPr>
            <w:tcW w:w="2544" w:type="dxa"/>
            <w:tcBorders>
              <w:bottom w:val="thinThickSmallGap" w:sz="24" w:space="0" w:color="000000"/>
            </w:tcBorders>
          </w:tcPr>
          <w:p w:rsidR="00D875E7" w:rsidRPr="00831942" w:rsidRDefault="00D875E7" w:rsidP="00374D0D">
            <w:pPr>
              <w:rPr>
                <w:b/>
                <w:bCs/>
                <w:lang w:val="et-EE"/>
              </w:rPr>
            </w:pPr>
            <w:r w:rsidRPr="00831942">
              <w:rPr>
                <w:b/>
                <w:bCs/>
                <w:lang w:val="et-EE"/>
              </w:rPr>
              <w:t>Mehhaanilise profülaktika soovitus</w:t>
            </w:r>
            <w:r w:rsidR="007A72D9">
              <w:rPr>
                <w:b/>
                <w:bCs/>
                <w:lang w:val="et-EE"/>
              </w:rPr>
              <w:t xml:space="preserve"> (kuni haiglast väljakirjutamiseni)</w:t>
            </w:r>
          </w:p>
        </w:tc>
      </w:tr>
      <w:tr w:rsidR="00D875E7" w:rsidTr="007A72D9">
        <w:tc>
          <w:tcPr>
            <w:tcW w:w="2095" w:type="dxa"/>
            <w:vMerge w:val="restart"/>
            <w:tcBorders>
              <w:top w:val="thinThickSmallGap" w:sz="24" w:space="0" w:color="000000"/>
            </w:tcBorders>
          </w:tcPr>
          <w:p w:rsidR="00D875E7" w:rsidRDefault="00D875E7" w:rsidP="00374D0D">
            <w:pPr>
              <w:rPr>
                <w:lang w:val="et-EE"/>
              </w:rPr>
            </w:pPr>
            <w:proofErr w:type="spellStart"/>
            <w:r>
              <w:rPr>
                <w:lang w:val="et-EE"/>
              </w:rPr>
              <w:t>Tsüstektoomia</w:t>
            </w:r>
            <w:proofErr w:type="spellEnd"/>
          </w:p>
        </w:tc>
        <w:tc>
          <w:tcPr>
            <w:tcW w:w="2326" w:type="dxa"/>
            <w:tcBorders>
              <w:top w:val="thinThickSmallGap" w:sz="24" w:space="0" w:color="000000"/>
              <w:bottom w:val="single" w:sz="4" w:space="0" w:color="auto"/>
            </w:tcBorders>
          </w:tcPr>
          <w:p w:rsidR="00D875E7" w:rsidRDefault="00D875E7" w:rsidP="00374D0D">
            <w:pPr>
              <w:rPr>
                <w:lang w:val="et-EE"/>
              </w:rPr>
            </w:pPr>
            <w:r>
              <w:rPr>
                <w:lang w:val="et-EE"/>
              </w:rPr>
              <w:t>lahtine</w:t>
            </w:r>
          </w:p>
        </w:tc>
        <w:tc>
          <w:tcPr>
            <w:tcW w:w="2386" w:type="dxa"/>
            <w:tcBorders>
              <w:top w:val="thinThickSmallGap" w:sz="24" w:space="0" w:color="000000"/>
              <w:bottom w:val="single" w:sz="4" w:space="0" w:color="auto"/>
            </w:tcBorders>
            <w:shd w:val="clear" w:color="auto" w:fill="A8D08D" w:themeFill="accent6" w:themeFillTint="99"/>
          </w:tcPr>
          <w:p w:rsidR="00D875E7" w:rsidRDefault="007A72D9" w:rsidP="00374D0D">
            <w:pPr>
              <w:rPr>
                <w:lang w:val="et-EE"/>
              </w:rPr>
            </w:pPr>
            <w:r w:rsidRPr="007A72D9">
              <w:rPr>
                <w:b/>
                <w:bCs/>
                <w:lang w:val="et-EE"/>
              </w:rPr>
              <w:t>Kõik riskirühmad</w:t>
            </w:r>
            <w:r>
              <w:rPr>
                <w:lang w:val="et-EE"/>
              </w:rPr>
              <w:t xml:space="preserve"> -t</w:t>
            </w:r>
            <w:r w:rsidR="00D875E7">
              <w:rPr>
                <w:lang w:val="et-EE"/>
              </w:rPr>
              <w:t>ugev soovitus poolt</w:t>
            </w:r>
          </w:p>
        </w:tc>
        <w:tc>
          <w:tcPr>
            <w:tcW w:w="2544" w:type="dxa"/>
            <w:tcBorders>
              <w:top w:val="thinThickSmallGap" w:sz="24" w:space="0" w:color="000000"/>
              <w:bottom w:val="single" w:sz="4" w:space="0" w:color="auto"/>
            </w:tcBorders>
            <w:shd w:val="clear" w:color="auto" w:fill="C5E0B3" w:themeFill="accent6" w:themeFillTint="66"/>
          </w:tcPr>
          <w:p w:rsidR="00D875E7" w:rsidRDefault="007A72D9" w:rsidP="00374D0D">
            <w:pPr>
              <w:rPr>
                <w:lang w:val="et-EE"/>
              </w:rPr>
            </w:pPr>
            <w:r w:rsidRPr="007A72D9">
              <w:rPr>
                <w:b/>
                <w:bCs/>
                <w:lang w:val="et-EE"/>
              </w:rPr>
              <w:t>Kõik riskirühmad</w:t>
            </w:r>
            <w:r>
              <w:rPr>
                <w:lang w:val="et-EE"/>
              </w:rPr>
              <w:t xml:space="preserve"> -</w:t>
            </w:r>
            <w:r>
              <w:rPr>
                <w:lang w:val="et-EE"/>
              </w:rPr>
              <w:t xml:space="preserve"> n</w:t>
            </w:r>
            <w:r w:rsidR="00D875E7">
              <w:rPr>
                <w:lang w:val="et-EE"/>
              </w:rPr>
              <w:t xml:space="preserve">õrk soovitus poolt </w:t>
            </w:r>
          </w:p>
        </w:tc>
      </w:tr>
      <w:tr w:rsidR="00D875E7" w:rsidTr="007A72D9">
        <w:tc>
          <w:tcPr>
            <w:tcW w:w="2095" w:type="dxa"/>
            <w:vMerge/>
            <w:tcBorders>
              <w:bottom w:val="single" w:sz="24" w:space="0" w:color="000000"/>
            </w:tcBorders>
          </w:tcPr>
          <w:p w:rsidR="00D875E7" w:rsidRDefault="00D875E7" w:rsidP="00D875E7">
            <w:pPr>
              <w:rPr>
                <w:lang w:val="et-EE"/>
              </w:rPr>
            </w:pPr>
          </w:p>
        </w:tc>
        <w:tc>
          <w:tcPr>
            <w:tcW w:w="2326" w:type="dxa"/>
            <w:tcBorders>
              <w:bottom w:val="single" w:sz="24" w:space="0" w:color="000000"/>
            </w:tcBorders>
          </w:tcPr>
          <w:p w:rsidR="00D875E7" w:rsidRDefault="00D875E7" w:rsidP="00D875E7">
            <w:pPr>
              <w:rPr>
                <w:lang w:val="et-EE"/>
              </w:rPr>
            </w:pPr>
            <w:r>
              <w:rPr>
                <w:lang w:val="et-EE"/>
              </w:rPr>
              <w:t>robot</w:t>
            </w:r>
          </w:p>
        </w:tc>
        <w:tc>
          <w:tcPr>
            <w:tcW w:w="2386" w:type="dxa"/>
            <w:tcBorders>
              <w:bottom w:val="single" w:sz="24" w:space="0" w:color="000000"/>
            </w:tcBorders>
            <w:shd w:val="clear" w:color="auto" w:fill="C5E0B3" w:themeFill="accent6" w:themeFillTint="66"/>
          </w:tcPr>
          <w:p w:rsidR="00D875E7" w:rsidRDefault="007A72D9" w:rsidP="00D875E7">
            <w:pPr>
              <w:rPr>
                <w:lang w:val="et-EE"/>
              </w:rPr>
            </w:pPr>
            <w:r w:rsidRPr="007A72D9">
              <w:rPr>
                <w:b/>
                <w:bCs/>
                <w:lang w:val="et-EE"/>
              </w:rPr>
              <w:t>Kõik riskirühmad</w:t>
            </w:r>
            <w:r>
              <w:rPr>
                <w:lang w:val="et-EE"/>
              </w:rPr>
              <w:t xml:space="preserve"> -</w:t>
            </w:r>
            <w:r>
              <w:rPr>
                <w:lang w:val="et-EE"/>
              </w:rPr>
              <w:t>n</w:t>
            </w:r>
            <w:r w:rsidR="00D875E7">
              <w:rPr>
                <w:lang w:val="et-EE"/>
              </w:rPr>
              <w:t>õrk soovitus poolt</w:t>
            </w:r>
          </w:p>
        </w:tc>
        <w:tc>
          <w:tcPr>
            <w:tcW w:w="2544" w:type="dxa"/>
            <w:tcBorders>
              <w:bottom w:val="single" w:sz="24" w:space="0" w:color="000000"/>
            </w:tcBorders>
            <w:shd w:val="clear" w:color="auto" w:fill="C5E0B3" w:themeFill="accent6" w:themeFillTint="66"/>
          </w:tcPr>
          <w:p w:rsidR="00D875E7" w:rsidRDefault="007A72D9" w:rsidP="00D875E7">
            <w:pPr>
              <w:rPr>
                <w:lang w:val="et-EE"/>
              </w:rPr>
            </w:pPr>
            <w:r w:rsidRPr="007A72D9">
              <w:rPr>
                <w:b/>
                <w:bCs/>
                <w:lang w:val="et-EE"/>
              </w:rPr>
              <w:t>Kõik riskirühmad</w:t>
            </w:r>
            <w:r>
              <w:rPr>
                <w:lang w:val="et-EE"/>
              </w:rPr>
              <w:t xml:space="preserve"> -</w:t>
            </w:r>
            <w:r>
              <w:rPr>
                <w:lang w:val="et-EE"/>
              </w:rPr>
              <w:t xml:space="preserve"> n</w:t>
            </w:r>
            <w:r w:rsidR="00D875E7">
              <w:rPr>
                <w:lang w:val="et-EE"/>
              </w:rPr>
              <w:t xml:space="preserve">õrk soovitus poolt </w:t>
            </w:r>
          </w:p>
        </w:tc>
      </w:tr>
      <w:tr w:rsidR="007A72D9" w:rsidTr="007A72D9">
        <w:trPr>
          <w:trHeight w:val="271"/>
        </w:trPr>
        <w:tc>
          <w:tcPr>
            <w:tcW w:w="2095" w:type="dxa"/>
            <w:vMerge w:val="restart"/>
            <w:tcBorders>
              <w:top w:val="single" w:sz="24" w:space="0" w:color="000000"/>
            </w:tcBorders>
          </w:tcPr>
          <w:p w:rsidR="007A72D9" w:rsidRDefault="007A72D9" w:rsidP="00D875E7">
            <w:pPr>
              <w:rPr>
                <w:lang w:val="et-EE"/>
              </w:rPr>
            </w:pPr>
            <w:proofErr w:type="spellStart"/>
            <w:r>
              <w:rPr>
                <w:lang w:val="et-EE"/>
              </w:rPr>
              <w:t>Prostatektoomia</w:t>
            </w:r>
            <w:proofErr w:type="spellEnd"/>
          </w:p>
        </w:tc>
        <w:tc>
          <w:tcPr>
            <w:tcW w:w="2326" w:type="dxa"/>
            <w:vMerge w:val="restart"/>
            <w:tcBorders>
              <w:top w:val="single" w:sz="24" w:space="0" w:color="000000"/>
            </w:tcBorders>
          </w:tcPr>
          <w:p w:rsidR="007A72D9" w:rsidRDefault="007A72D9" w:rsidP="00D875E7">
            <w:pPr>
              <w:rPr>
                <w:lang w:val="et-EE"/>
              </w:rPr>
            </w:pPr>
            <w:r>
              <w:rPr>
                <w:lang w:val="et-EE"/>
              </w:rPr>
              <w:t xml:space="preserve">Lahtine (+/- </w:t>
            </w:r>
            <w:proofErr w:type="spellStart"/>
            <w:r>
              <w:rPr>
                <w:lang w:val="et-EE"/>
              </w:rPr>
              <w:t>sPLND</w:t>
            </w:r>
            <w:proofErr w:type="spellEnd"/>
            <w:r>
              <w:rPr>
                <w:lang w:val="et-EE"/>
              </w:rPr>
              <w:t>)</w:t>
            </w:r>
          </w:p>
        </w:tc>
        <w:tc>
          <w:tcPr>
            <w:tcW w:w="2386" w:type="dxa"/>
            <w:tcBorders>
              <w:top w:val="single" w:sz="24" w:space="0" w:color="000000"/>
            </w:tcBorders>
            <w:shd w:val="clear" w:color="auto" w:fill="C5E0B3" w:themeFill="accent6" w:themeFillTint="66"/>
          </w:tcPr>
          <w:p w:rsidR="007A72D9" w:rsidRDefault="007A72D9" w:rsidP="00D875E7">
            <w:pPr>
              <w:rPr>
                <w:lang w:val="et-EE"/>
              </w:rPr>
            </w:pPr>
            <w:r w:rsidRPr="007A72D9">
              <w:rPr>
                <w:b/>
                <w:bCs/>
                <w:lang w:val="et-EE"/>
              </w:rPr>
              <w:t>Väike risk</w:t>
            </w:r>
            <w:r>
              <w:rPr>
                <w:lang w:val="et-EE"/>
              </w:rPr>
              <w:t xml:space="preserve"> – nõrk soovitus poolt</w:t>
            </w:r>
          </w:p>
          <w:p w:rsidR="007A72D9" w:rsidRDefault="007A72D9" w:rsidP="00D875E7">
            <w:pPr>
              <w:rPr>
                <w:lang w:val="et-EE"/>
              </w:rPr>
            </w:pPr>
          </w:p>
        </w:tc>
        <w:tc>
          <w:tcPr>
            <w:tcW w:w="2544" w:type="dxa"/>
            <w:vMerge w:val="restart"/>
            <w:tcBorders>
              <w:top w:val="single" w:sz="24" w:space="0" w:color="000000"/>
            </w:tcBorders>
            <w:shd w:val="clear" w:color="auto" w:fill="C5E0B3" w:themeFill="accent6" w:themeFillTint="66"/>
          </w:tcPr>
          <w:p w:rsidR="007A72D9" w:rsidRDefault="007A72D9" w:rsidP="00D875E7">
            <w:pPr>
              <w:rPr>
                <w:lang w:val="et-EE"/>
              </w:rPr>
            </w:pPr>
            <w:r w:rsidRPr="007A72D9">
              <w:rPr>
                <w:b/>
                <w:bCs/>
                <w:lang w:val="et-EE"/>
              </w:rPr>
              <w:t>Kõik riskirühmad</w:t>
            </w:r>
            <w:r>
              <w:rPr>
                <w:lang w:val="et-EE"/>
              </w:rPr>
              <w:t xml:space="preserve"> -</w:t>
            </w:r>
            <w:r>
              <w:rPr>
                <w:lang w:val="et-EE"/>
              </w:rPr>
              <w:t xml:space="preserve"> </w:t>
            </w:r>
            <w:r w:rsidRPr="007A72D9">
              <w:rPr>
                <w:lang w:val="et-EE"/>
              </w:rPr>
              <w:t>n</w:t>
            </w:r>
            <w:r>
              <w:rPr>
                <w:lang w:val="et-EE"/>
              </w:rPr>
              <w:t xml:space="preserve">õrk soovitus poolt </w:t>
            </w:r>
          </w:p>
        </w:tc>
      </w:tr>
      <w:tr w:rsidR="007A72D9" w:rsidTr="007A72D9">
        <w:trPr>
          <w:trHeight w:val="269"/>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A8D08D" w:themeFill="accent6" w:themeFillTint="99"/>
          </w:tcPr>
          <w:p w:rsidR="007A72D9" w:rsidRDefault="007A72D9" w:rsidP="00D875E7">
            <w:pPr>
              <w:rPr>
                <w:lang w:val="et-EE"/>
              </w:rPr>
            </w:pPr>
            <w:r w:rsidRPr="007A72D9">
              <w:rPr>
                <w:b/>
                <w:bCs/>
                <w:lang w:val="et-EE"/>
              </w:rPr>
              <w:t>Keskmine</w:t>
            </w:r>
            <w:r w:rsidRPr="007A72D9">
              <w:rPr>
                <w:b/>
                <w:bCs/>
                <w:lang w:val="et-EE"/>
              </w:rPr>
              <w:t xml:space="preserve"> </w:t>
            </w:r>
            <w:r w:rsidRPr="007A72D9">
              <w:rPr>
                <w:b/>
                <w:bCs/>
                <w:lang w:val="et-EE"/>
              </w:rPr>
              <w:t>risk</w:t>
            </w:r>
            <w:r>
              <w:rPr>
                <w:lang w:val="et-EE"/>
              </w:rPr>
              <w:t xml:space="preserve"> – tugev soovitus poolt</w:t>
            </w:r>
          </w:p>
        </w:tc>
        <w:tc>
          <w:tcPr>
            <w:tcW w:w="2544" w:type="dxa"/>
            <w:vMerge/>
            <w:shd w:val="clear" w:color="auto" w:fill="C5E0B3" w:themeFill="accent6" w:themeFillTint="66"/>
          </w:tcPr>
          <w:p w:rsidR="007A72D9" w:rsidRDefault="007A72D9" w:rsidP="00D875E7">
            <w:pPr>
              <w:rPr>
                <w:lang w:val="et-EE"/>
              </w:rPr>
            </w:pPr>
          </w:p>
        </w:tc>
      </w:tr>
      <w:tr w:rsidR="007A72D9" w:rsidTr="007A72D9">
        <w:trPr>
          <w:trHeight w:val="269"/>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A8D08D" w:themeFill="accent6" w:themeFillTint="99"/>
          </w:tcPr>
          <w:p w:rsidR="007A72D9" w:rsidRDefault="007A72D9" w:rsidP="00D875E7">
            <w:pPr>
              <w:rPr>
                <w:lang w:val="et-EE"/>
              </w:rPr>
            </w:pPr>
            <w:r w:rsidRPr="007A72D9">
              <w:rPr>
                <w:b/>
                <w:bCs/>
                <w:lang w:val="et-EE"/>
              </w:rPr>
              <w:t>Suur</w:t>
            </w:r>
            <w:r w:rsidRPr="007A72D9">
              <w:rPr>
                <w:b/>
                <w:bCs/>
                <w:lang w:val="et-EE"/>
              </w:rPr>
              <w:t xml:space="preserve"> risk</w:t>
            </w:r>
            <w:r>
              <w:rPr>
                <w:lang w:val="et-EE"/>
              </w:rPr>
              <w:t xml:space="preserve"> – tugev soovitus poolt</w:t>
            </w:r>
          </w:p>
        </w:tc>
        <w:tc>
          <w:tcPr>
            <w:tcW w:w="2544" w:type="dxa"/>
            <w:vMerge/>
            <w:shd w:val="clear" w:color="auto" w:fill="C5E0B3" w:themeFill="accent6" w:themeFillTint="66"/>
          </w:tcPr>
          <w:p w:rsidR="007A72D9" w:rsidRDefault="007A72D9" w:rsidP="00D875E7">
            <w:pPr>
              <w:rPr>
                <w:lang w:val="et-EE"/>
              </w:rPr>
            </w:pPr>
          </w:p>
        </w:tc>
      </w:tr>
      <w:tr w:rsidR="00D875E7" w:rsidTr="007A72D9">
        <w:tc>
          <w:tcPr>
            <w:tcW w:w="2095" w:type="dxa"/>
          </w:tcPr>
          <w:p w:rsidR="00D875E7" w:rsidRDefault="00D875E7" w:rsidP="00D875E7">
            <w:pPr>
              <w:rPr>
                <w:lang w:val="et-EE"/>
              </w:rPr>
            </w:pPr>
          </w:p>
        </w:tc>
        <w:tc>
          <w:tcPr>
            <w:tcW w:w="2326" w:type="dxa"/>
          </w:tcPr>
          <w:p w:rsidR="00D875E7" w:rsidRDefault="00D875E7" w:rsidP="00D875E7">
            <w:pPr>
              <w:rPr>
                <w:lang w:val="et-EE"/>
              </w:rPr>
            </w:pPr>
            <w:r>
              <w:rPr>
                <w:lang w:val="et-EE"/>
              </w:rPr>
              <w:t xml:space="preserve">Lahtine + </w:t>
            </w:r>
            <w:proofErr w:type="spellStart"/>
            <w:r w:rsidR="00831942">
              <w:rPr>
                <w:lang w:val="et-EE"/>
              </w:rPr>
              <w:t>e</w:t>
            </w:r>
            <w:r>
              <w:rPr>
                <w:lang w:val="et-EE"/>
              </w:rPr>
              <w:t>PLND</w:t>
            </w:r>
            <w:proofErr w:type="spellEnd"/>
          </w:p>
        </w:tc>
        <w:tc>
          <w:tcPr>
            <w:tcW w:w="2386" w:type="dxa"/>
            <w:shd w:val="clear" w:color="auto" w:fill="A8D08D" w:themeFill="accent6" w:themeFillTint="99"/>
          </w:tcPr>
          <w:p w:rsidR="00D875E7" w:rsidRDefault="007A72D9" w:rsidP="00D875E7">
            <w:pPr>
              <w:rPr>
                <w:lang w:val="et-EE"/>
              </w:rPr>
            </w:pPr>
            <w:r w:rsidRPr="007A72D9">
              <w:rPr>
                <w:b/>
                <w:bCs/>
                <w:lang w:val="et-EE"/>
              </w:rPr>
              <w:t>Kõik riskirühmad</w:t>
            </w:r>
            <w:r>
              <w:rPr>
                <w:lang w:val="et-EE"/>
              </w:rPr>
              <w:t xml:space="preserve"> -</w:t>
            </w:r>
            <w:r>
              <w:rPr>
                <w:lang w:val="et-EE"/>
              </w:rPr>
              <w:t>t</w:t>
            </w:r>
            <w:r w:rsidR="00D875E7">
              <w:rPr>
                <w:lang w:val="et-EE"/>
              </w:rPr>
              <w:t>ugev soovitus poolt</w:t>
            </w:r>
          </w:p>
        </w:tc>
        <w:tc>
          <w:tcPr>
            <w:tcW w:w="2544" w:type="dxa"/>
            <w:shd w:val="clear" w:color="auto" w:fill="C5E0B3" w:themeFill="accent6" w:themeFillTint="66"/>
          </w:tcPr>
          <w:p w:rsidR="00D875E7" w:rsidRDefault="007A72D9" w:rsidP="00D875E7">
            <w:pPr>
              <w:rPr>
                <w:lang w:val="et-EE"/>
              </w:rPr>
            </w:pPr>
            <w:r w:rsidRPr="007A72D9">
              <w:rPr>
                <w:b/>
                <w:bCs/>
                <w:lang w:val="et-EE"/>
              </w:rPr>
              <w:t>Kõik riskirühmad</w:t>
            </w:r>
            <w:r>
              <w:rPr>
                <w:lang w:val="et-EE"/>
              </w:rPr>
              <w:t xml:space="preserve"> -</w:t>
            </w:r>
            <w:r>
              <w:rPr>
                <w:lang w:val="et-EE"/>
              </w:rPr>
              <w:t xml:space="preserve"> n</w:t>
            </w:r>
            <w:r w:rsidR="00D875E7">
              <w:rPr>
                <w:lang w:val="et-EE"/>
              </w:rPr>
              <w:t xml:space="preserve">õrk soovitus poolt </w:t>
            </w:r>
          </w:p>
        </w:tc>
      </w:tr>
      <w:tr w:rsidR="007A72D9" w:rsidTr="007A72D9">
        <w:trPr>
          <w:trHeight w:val="335"/>
        </w:trPr>
        <w:tc>
          <w:tcPr>
            <w:tcW w:w="2095" w:type="dxa"/>
            <w:vMerge w:val="restart"/>
          </w:tcPr>
          <w:p w:rsidR="007A72D9" w:rsidRDefault="007A72D9" w:rsidP="00D875E7">
            <w:pPr>
              <w:rPr>
                <w:lang w:val="et-EE"/>
              </w:rPr>
            </w:pPr>
          </w:p>
        </w:tc>
        <w:tc>
          <w:tcPr>
            <w:tcW w:w="2326" w:type="dxa"/>
            <w:vMerge w:val="restart"/>
          </w:tcPr>
          <w:p w:rsidR="007A72D9" w:rsidRDefault="007A72D9" w:rsidP="00D875E7">
            <w:pPr>
              <w:rPr>
                <w:lang w:val="et-EE"/>
              </w:rPr>
            </w:pPr>
            <w:proofErr w:type="spellStart"/>
            <w:r>
              <w:rPr>
                <w:lang w:val="et-EE"/>
              </w:rPr>
              <w:t>Endoskoopiline</w:t>
            </w:r>
            <w:proofErr w:type="spellEnd"/>
            <w:r>
              <w:rPr>
                <w:lang w:val="et-EE"/>
              </w:rPr>
              <w:t xml:space="preserve"> (ilma </w:t>
            </w:r>
            <w:proofErr w:type="spellStart"/>
            <w:r>
              <w:rPr>
                <w:lang w:val="et-EE"/>
              </w:rPr>
              <w:t>lümfadenektoomiata</w:t>
            </w:r>
            <w:proofErr w:type="spellEnd"/>
            <w:r>
              <w:rPr>
                <w:lang w:val="et-EE"/>
              </w:rPr>
              <w:t>)</w:t>
            </w:r>
          </w:p>
        </w:tc>
        <w:tc>
          <w:tcPr>
            <w:tcW w:w="2386" w:type="dxa"/>
            <w:shd w:val="clear" w:color="auto" w:fill="F4B083" w:themeFill="accent2" w:themeFillTint="99"/>
          </w:tcPr>
          <w:p w:rsidR="007A72D9" w:rsidRDefault="007A72D9" w:rsidP="00D875E7">
            <w:pPr>
              <w:rPr>
                <w:lang w:val="et-EE"/>
              </w:rPr>
            </w:pPr>
            <w:r w:rsidRPr="007A72D9">
              <w:rPr>
                <w:b/>
                <w:bCs/>
                <w:lang w:val="et-EE"/>
              </w:rPr>
              <w:t>Väike risk</w:t>
            </w:r>
            <w:r>
              <w:rPr>
                <w:lang w:val="et-EE"/>
              </w:rPr>
              <w:t xml:space="preserve"> – tugev soovitus </w:t>
            </w:r>
            <w:r w:rsidRPr="00D875E7">
              <w:rPr>
                <w:lang w:val="et-EE"/>
              </w:rPr>
              <w:t>vast</w:t>
            </w:r>
            <w:r>
              <w:rPr>
                <w:lang w:val="et-EE"/>
              </w:rPr>
              <w:t>u</w:t>
            </w:r>
          </w:p>
        </w:tc>
        <w:tc>
          <w:tcPr>
            <w:tcW w:w="2544" w:type="dxa"/>
            <w:shd w:val="clear" w:color="auto" w:fill="F7CAAC" w:themeFill="accent2" w:themeFillTint="66"/>
          </w:tcPr>
          <w:p w:rsidR="007A72D9" w:rsidRDefault="007A72D9" w:rsidP="00D875E7">
            <w:pPr>
              <w:rPr>
                <w:lang w:val="et-EE"/>
              </w:rPr>
            </w:pPr>
            <w:r w:rsidRPr="007A72D9">
              <w:rPr>
                <w:b/>
                <w:bCs/>
                <w:lang w:val="et-EE"/>
              </w:rPr>
              <w:t>Väike risk</w:t>
            </w:r>
            <w:r>
              <w:rPr>
                <w:lang w:val="et-EE"/>
              </w:rPr>
              <w:t xml:space="preserve"> – nõrk soovitus vastu</w:t>
            </w:r>
          </w:p>
        </w:tc>
      </w:tr>
      <w:tr w:rsidR="007A72D9" w:rsidTr="007A72D9">
        <w:trPr>
          <w:trHeight w:val="333"/>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F7CAAC" w:themeFill="accent2" w:themeFillTint="66"/>
          </w:tcPr>
          <w:p w:rsidR="007A72D9" w:rsidRDefault="007A72D9" w:rsidP="00D875E7">
            <w:pPr>
              <w:rPr>
                <w:lang w:val="et-EE"/>
              </w:rPr>
            </w:pPr>
            <w:r w:rsidRPr="007A72D9">
              <w:rPr>
                <w:b/>
                <w:bCs/>
                <w:lang w:val="et-EE"/>
              </w:rPr>
              <w:t>Keskmine</w:t>
            </w:r>
            <w:r w:rsidRPr="007A72D9">
              <w:rPr>
                <w:b/>
                <w:bCs/>
                <w:lang w:val="et-EE"/>
              </w:rPr>
              <w:t xml:space="preserve"> risk</w:t>
            </w:r>
            <w:r>
              <w:rPr>
                <w:lang w:val="et-EE"/>
              </w:rPr>
              <w:t xml:space="preserve"> – nõrk soovitus vastu</w:t>
            </w:r>
          </w:p>
        </w:tc>
        <w:tc>
          <w:tcPr>
            <w:tcW w:w="2544" w:type="dxa"/>
            <w:shd w:val="clear" w:color="auto" w:fill="C5E0B3" w:themeFill="accent6" w:themeFillTint="66"/>
          </w:tcPr>
          <w:p w:rsidR="007A72D9" w:rsidRDefault="007A72D9" w:rsidP="00D875E7">
            <w:pPr>
              <w:rPr>
                <w:lang w:val="et-EE"/>
              </w:rPr>
            </w:pPr>
            <w:r w:rsidRPr="007A72D9">
              <w:rPr>
                <w:b/>
                <w:bCs/>
                <w:lang w:val="et-EE"/>
              </w:rPr>
              <w:t>Keskmine</w:t>
            </w:r>
            <w:r w:rsidRPr="007A72D9">
              <w:rPr>
                <w:b/>
                <w:bCs/>
                <w:lang w:val="et-EE"/>
              </w:rPr>
              <w:t xml:space="preserve"> risk</w:t>
            </w:r>
            <w:r>
              <w:rPr>
                <w:lang w:val="et-EE"/>
              </w:rPr>
              <w:t xml:space="preserve"> – nõrk soovitus poolt</w:t>
            </w:r>
          </w:p>
        </w:tc>
      </w:tr>
      <w:tr w:rsidR="007A72D9" w:rsidTr="007A72D9">
        <w:trPr>
          <w:trHeight w:val="333"/>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F7CAAC" w:themeFill="accent2" w:themeFillTint="66"/>
          </w:tcPr>
          <w:p w:rsidR="007A72D9" w:rsidRDefault="007A72D9" w:rsidP="00D875E7">
            <w:pPr>
              <w:rPr>
                <w:lang w:val="et-EE"/>
              </w:rPr>
            </w:pPr>
            <w:r w:rsidRPr="007A72D9">
              <w:rPr>
                <w:b/>
                <w:bCs/>
                <w:lang w:val="et-EE"/>
              </w:rPr>
              <w:t>Suur risk</w:t>
            </w:r>
            <w:r>
              <w:rPr>
                <w:lang w:val="et-EE"/>
              </w:rPr>
              <w:t xml:space="preserve"> – nõrk soovitus vastu</w:t>
            </w:r>
          </w:p>
        </w:tc>
        <w:tc>
          <w:tcPr>
            <w:tcW w:w="2544" w:type="dxa"/>
            <w:shd w:val="clear" w:color="auto" w:fill="C5E0B3" w:themeFill="accent6" w:themeFillTint="66"/>
          </w:tcPr>
          <w:p w:rsidR="007A72D9" w:rsidRDefault="007A72D9" w:rsidP="00D875E7">
            <w:pPr>
              <w:rPr>
                <w:lang w:val="et-EE"/>
              </w:rPr>
            </w:pPr>
            <w:r w:rsidRPr="007A72D9">
              <w:rPr>
                <w:b/>
                <w:bCs/>
                <w:lang w:val="et-EE"/>
              </w:rPr>
              <w:t>Suur risk</w:t>
            </w:r>
            <w:r>
              <w:rPr>
                <w:lang w:val="et-EE"/>
              </w:rPr>
              <w:t xml:space="preserve"> – nõrk soovitus poolt </w:t>
            </w:r>
          </w:p>
        </w:tc>
      </w:tr>
      <w:tr w:rsidR="007A72D9" w:rsidTr="007A72D9">
        <w:trPr>
          <w:trHeight w:val="403"/>
        </w:trPr>
        <w:tc>
          <w:tcPr>
            <w:tcW w:w="2095" w:type="dxa"/>
            <w:vMerge w:val="restart"/>
          </w:tcPr>
          <w:p w:rsidR="007A72D9" w:rsidRDefault="007A72D9" w:rsidP="00D875E7">
            <w:pPr>
              <w:rPr>
                <w:lang w:val="et-EE"/>
              </w:rPr>
            </w:pPr>
          </w:p>
        </w:tc>
        <w:tc>
          <w:tcPr>
            <w:tcW w:w="2326" w:type="dxa"/>
            <w:vMerge w:val="restart"/>
          </w:tcPr>
          <w:p w:rsidR="007A72D9" w:rsidRDefault="007A72D9" w:rsidP="00D875E7">
            <w:pPr>
              <w:rPr>
                <w:lang w:val="et-EE"/>
              </w:rPr>
            </w:pPr>
            <w:proofErr w:type="spellStart"/>
            <w:r>
              <w:rPr>
                <w:lang w:val="et-EE"/>
              </w:rPr>
              <w:t>Endoskoopiline</w:t>
            </w:r>
            <w:proofErr w:type="spellEnd"/>
            <w:r>
              <w:rPr>
                <w:lang w:val="et-EE"/>
              </w:rPr>
              <w:t xml:space="preserve"> + </w:t>
            </w:r>
            <w:proofErr w:type="spellStart"/>
            <w:r>
              <w:rPr>
                <w:lang w:val="et-EE"/>
              </w:rPr>
              <w:t>sPLND</w:t>
            </w:r>
            <w:proofErr w:type="spellEnd"/>
            <w:r>
              <w:rPr>
                <w:lang w:val="et-EE"/>
              </w:rPr>
              <w:t>*</w:t>
            </w:r>
          </w:p>
        </w:tc>
        <w:tc>
          <w:tcPr>
            <w:tcW w:w="2386" w:type="dxa"/>
            <w:shd w:val="clear" w:color="auto" w:fill="F4B083" w:themeFill="accent2" w:themeFillTint="99"/>
          </w:tcPr>
          <w:p w:rsidR="007A72D9" w:rsidRDefault="007A72D9" w:rsidP="00831942">
            <w:pPr>
              <w:rPr>
                <w:lang w:val="et-EE"/>
              </w:rPr>
            </w:pPr>
            <w:r w:rsidRPr="007A72D9">
              <w:rPr>
                <w:b/>
                <w:bCs/>
                <w:lang w:val="et-EE"/>
              </w:rPr>
              <w:t>Väike risk</w:t>
            </w:r>
            <w:r>
              <w:rPr>
                <w:lang w:val="et-EE"/>
              </w:rPr>
              <w:t xml:space="preserve"> – tugev soovitus </w:t>
            </w:r>
            <w:r w:rsidRPr="00D875E7">
              <w:rPr>
                <w:lang w:val="et-EE"/>
              </w:rPr>
              <w:t>vastu</w:t>
            </w:r>
          </w:p>
        </w:tc>
        <w:tc>
          <w:tcPr>
            <w:tcW w:w="2544" w:type="dxa"/>
            <w:vMerge w:val="restart"/>
            <w:shd w:val="clear" w:color="auto" w:fill="C5E0B3" w:themeFill="accent6" w:themeFillTint="66"/>
          </w:tcPr>
          <w:p w:rsidR="007A72D9" w:rsidRDefault="007A72D9" w:rsidP="00D875E7">
            <w:pPr>
              <w:rPr>
                <w:lang w:val="et-EE"/>
              </w:rPr>
            </w:pPr>
            <w:r w:rsidRPr="007A72D9">
              <w:rPr>
                <w:b/>
                <w:bCs/>
                <w:lang w:val="et-EE"/>
              </w:rPr>
              <w:t>Kõik riskirühmad</w:t>
            </w:r>
            <w:r>
              <w:rPr>
                <w:lang w:val="et-EE"/>
              </w:rPr>
              <w:t xml:space="preserve"> -</w:t>
            </w:r>
            <w:r>
              <w:rPr>
                <w:lang w:val="et-EE"/>
              </w:rPr>
              <w:t xml:space="preserve"> nõrk soovitus poolt </w:t>
            </w:r>
          </w:p>
        </w:tc>
      </w:tr>
      <w:tr w:rsidR="007A72D9" w:rsidTr="007A72D9">
        <w:trPr>
          <w:trHeight w:val="402"/>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F7CAAC" w:themeFill="accent2" w:themeFillTint="66"/>
          </w:tcPr>
          <w:p w:rsidR="007A72D9" w:rsidRDefault="007A72D9" w:rsidP="00831942">
            <w:pPr>
              <w:rPr>
                <w:lang w:val="et-EE"/>
              </w:rPr>
            </w:pPr>
            <w:r w:rsidRPr="007A72D9">
              <w:rPr>
                <w:b/>
                <w:bCs/>
                <w:lang w:val="et-EE"/>
              </w:rPr>
              <w:t>Keskmine risk</w:t>
            </w:r>
            <w:r>
              <w:rPr>
                <w:lang w:val="et-EE"/>
              </w:rPr>
              <w:t xml:space="preserve"> – nõrk soovitus vastu</w:t>
            </w:r>
          </w:p>
        </w:tc>
        <w:tc>
          <w:tcPr>
            <w:tcW w:w="2544" w:type="dxa"/>
            <w:vMerge/>
            <w:shd w:val="clear" w:color="auto" w:fill="C5E0B3" w:themeFill="accent6" w:themeFillTint="66"/>
          </w:tcPr>
          <w:p w:rsidR="007A72D9" w:rsidRDefault="007A72D9" w:rsidP="00D875E7">
            <w:pPr>
              <w:rPr>
                <w:lang w:val="et-EE"/>
              </w:rPr>
            </w:pPr>
          </w:p>
        </w:tc>
      </w:tr>
      <w:tr w:rsidR="007A72D9" w:rsidTr="007A72D9">
        <w:trPr>
          <w:trHeight w:val="402"/>
        </w:trPr>
        <w:tc>
          <w:tcPr>
            <w:tcW w:w="2095" w:type="dxa"/>
            <w:vMerge/>
          </w:tcPr>
          <w:p w:rsidR="007A72D9" w:rsidRDefault="007A72D9" w:rsidP="00D875E7">
            <w:pPr>
              <w:rPr>
                <w:lang w:val="et-EE"/>
              </w:rPr>
            </w:pPr>
          </w:p>
        </w:tc>
        <w:tc>
          <w:tcPr>
            <w:tcW w:w="2326" w:type="dxa"/>
            <w:vMerge/>
          </w:tcPr>
          <w:p w:rsidR="007A72D9" w:rsidRDefault="007A72D9" w:rsidP="00D875E7">
            <w:pPr>
              <w:rPr>
                <w:lang w:val="et-EE"/>
              </w:rPr>
            </w:pPr>
          </w:p>
        </w:tc>
        <w:tc>
          <w:tcPr>
            <w:tcW w:w="2386" w:type="dxa"/>
            <w:shd w:val="clear" w:color="auto" w:fill="A8D08D" w:themeFill="accent6" w:themeFillTint="99"/>
          </w:tcPr>
          <w:p w:rsidR="007A72D9" w:rsidRDefault="007A72D9" w:rsidP="00831942">
            <w:pPr>
              <w:rPr>
                <w:lang w:val="et-EE"/>
              </w:rPr>
            </w:pPr>
            <w:r w:rsidRPr="007A72D9">
              <w:rPr>
                <w:b/>
                <w:bCs/>
                <w:lang w:val="et-EE"/>
              </w:rPr>
              <w:t>Suur risk</w:t>
            </w:r>
            <w:r>
              <w:rPr>
                <w:lang w:val="et-EE"/>
              </w:rPr>
              <w:t xml:space="preserve"> – tugev soovitus poolt</w:t>
            </w:r>
          </w:p>
        </w:tc>
        <w:tc>
          <w:tcPr>
            <w:tcW w:w="2544" w:type="dxa"/>
            <w:vMerge/>
            <w:shd w:val="clear" w:color="auto" w:fill="C5E0B3" w:themeFill="accent6" w:themeFillTint="66"/>
          </w:tcPr>
          <w:p w:rsidR="007A72D9" w:rsidRDefault="007A72D9" w:rsidP="00D875E7">
            <w:pPr>
              <w:rPr>
                <w:lang w:val="et-EE"/>
              </w:rPr>
            </w:pPr>
          </w:p>
        </w:tc>
      </w:tr>
      <w:tr w:rsidR="007A72D9" w:rsidTr="007A72D9">
        <w:trPr>
          <w:trHeight w:val="403"/>
        </w:trPr>
        <w:tc>
          <w:tcPr>
            <w:tcW w:w="2095" w:type="dxa"/>
            <w:vMerge w:val="restart"/>
          </w:tcPr>
          <w:p w:rsidR="007A72D9" w:rsidRDefault="007A72D9" w:rsidP="00831942">
            <w:pPr>
              <w:rPr>
                <w:lang w:val="et-EE"/>
              </w:rPr>
            </w:pPr>
          </w:p>
        </w:tc>
        <w:tc>
          <w:tcPr>
            <w:tcW w:w="2326" w:type="dxa"/>
            <w:vMerge w:val="restart"/>
          </w:tcPr>
          <w:p w:rsidR="007A72D9" w:rsidRDefault="007A72D9" w:rsidP="00831942">
            <w:pPr>
              <w:rPr>
                <w:lang w:val="et-EE"/>
              </w:rPr>
            </w:pPr>
            <w:proofErr w:type="spellStart"/>
            <w:r>
              <w:rPr>
                <w:lang w:val="et-EE"/>
              </w:rPr>
              <w:t>Endoskoopiline</w:t>
            </w:r>
            <w:proofErr w:type="spellEnd"/>
            <w:r>
              <w:rPr>
                <w:lang w:val="et-EE"/>
              </w:rPr>
              <w:t xml:space="preserve"> + </w:t>
            </w:r>
            <w:proofErr w:type="spellStart"/>
            <w:r>
              <w:rPr>
                <w:lang w:val="et-EE"/>
              </w:rPr>
              <w:t>ePLND</w:t>
            </w:r>
            <w:proofErr w:type="spellEnd"/>
            <w:r>
              <w:rPr>
                <w:lang w:val="et-EE"/>
              </w:rPr>
              <w:t>**</w:t>
            </w:r>
          </w:p>
        </w:tc>
        <w:tc>
          <w:tcPr>
            <w:tcW w:w="2386" w:type="dxa"/>
            <w:shd w:val="clear" w:color="auto" w:fill="F7CAAC" w:themeFill="accent2" w:themeFillTint="66"/>
          </w:tcPr>
          <w:p w:rsidR="007A72D9" w:rsidRDefault="007A72D9" w:rsidP="007A72D9">
            <w:pPr>
              <w:rPr>
                <w:lang w:val="et-EE"/>
              </w:rPr>
            </w:pPr>
            <w:r w:rsidRPr="007A72D9">
              <w:rPr>
                <w:b/>
                <w:bCs/>
                <w:lang w:val="et-EE"/>
              </w:rPr>
              <w:t>Väike risk</w:t>
            </w:r>
            <w:r>
              <w:rPr>
                <w:lang w:val="et-EE"/>
              </w:rPr>
              <w:t xml:space="preserve"> – nõrk soovitus </w:t>
            </w:r>
            <w:r w:rsidRPr="00D875E7">
              <w:rPr>
                <w:lang w:val="et-EE"/>
              </w:rPr>
              <w:t>vastu</w:t>
            </w:r>
          </w:p>
        </w:tc>
        <w:tc>
          <w:tcPr>
            <w:tcW w:w="2544" w:type="dxa"/>
            <w:vMerge w:val="restart"/>
            <w:shd w:val="clear" w:color="auto" w:fill="C5E0B3" w:themeFill="accent6" w:themeFillTint="66"/>
          </w:tcPr>
          <w:p w:rsidR="007A72D9" w:rsidRDefault="007A72D9" w:rsidP="00831942">
            <w:pPr>
              <w:rPr>
                <w:lang w:val="et-EE"/>
              </w:rPr>
            </w:pPr>
            <w:r w:rsidRPr="007A72D9">
              <w:rPr>
                <w:b/>
                <w:bCs/>
                <w:lang w:val="et-EE"/>
              </w:rPr>
              <w:t>Kõik riskirühmad</w:t>
            </w:r>
            <w:r>
              <w:rPr>
                <w:lang w:val="et-EE"/>
              </w:rPr>
              <w:t xml:space="preserve"> -</w:t>
            </w:r>
            <w:r>
              <w:rPr>
                <w:lang w:val="et-EE"/>
              </w:rPr>
              <w:t xml:space="preserve"> nõrk soovitus poolt </w:t>
            </w:r>
          </w:p>
        </w:tc>
      </w:tr>
      <w:tr w:rsidR="007A72D9" w:rsidTr="007A72D9">
        <w:trPr>
          <w:trHeight w:val="402"/>
        </w:trPr>
        <w:tc>
          <w:tcPr>
            <w:tcW w:w="2095" w:type="dxa"/>
            <w:vMerge/>
          </w:tcPr>
          <w:p w:rsidR="007A72D9" w:rsidRDefault="007A72D9" w:rsidP="00831942">
            <w:pPr>
              <w:rPr>
                <w:lang w:val="et-EE"/>
              </w:rPr>
            </w:pPr>
          </w:p>
        </w:tc>
        <w:tc>
          <w:tcPr>
            <w:tcW w:w="2326" w:type="dxa"/>
            <w:vMerge/>
          </w:tcPr>
          <w:p w:rsidR="007A72D9" w:rsidRDefault="007A72D9" w:rsidP="00831942">
            <w:pPr>
              <w:rPr>
                <w:lang w:val="et-EE"/>
              </w:rPr>
            </w:pPr>
          </w:p>
        </w:tc>
        <w:tc>
          <w:tcPr>
            <w:tcW w:w="2386" w:type="dxa"/>
            <w:shd w:val="clear" w:color="auto" w:fill="C5E0B3" w:themeFill="accent6" w:themeFillTint="66"/>
          </w:tcPr>
          <w:p w:rsidR="007A72D9" w:rsidRDefault="007A72D9" w:rsidP="00831942">
            <w:pPr>
              <w:rPr>
                <w:lang w:val="et-EE"/>
              </w:rPr>
            </w:pPr>
            <w:r w:rsidRPr="007A72D9">
              <w:rPr>
                <w:b/>
                <w:bCs/>
                <w:lang w:val="et-EE"/>
              </w:rPr>
              <w:t>Keskmine risk</w:t>
            </w:r>
            <w:r>
              <w:rPr>
                <w:lang w:val="et-EE"/>
              </w:rPr>
              <w:t xml:space="preserve"> – nõrk soovitus poolt</w:t>
            </w:r>
          </w:p>
        </w:tc>
        <w:tc>
          <w:tcPr>
            <w:tcW w:w="2544" w:type="dxa"/>
            <w:vMerge/>
            <w:shd w:val="clear" w:color="auto" w:fill="C5E0B3" w:themeFill="accent6" w:themeFillTint="66"/>
          </w:tcPr>
          <w:p w:rsidR="007A72D9" w:rsidRDefault="007A72D9" w:rsidP="00831942">
            <w:pPr>
              <w:rPr>
                <w:lang w:val="et-EE"/>
              </w:rPr>
            </w:pPr>
          </w:p>
        </w:tc>
      </w:tr>
      <w:tr w:rsidR="007A72D9" w:rsidTr="007A72D9">
        <w:trPr>
          <w:trHeight w:val="402"/>
        </w:trPr>
        <w:tc>
          <w:tcPr>
            <w:tcW w:w="2095" w:type="dxa"/>
            <w:vMerge/>
          </w:tcPr>
          <w:p w:rsidR="007A72D9" w:rsidRDefault="007A72D9" w:rsidP="00831942">
            <w:pPr>
              <w:rPr>
                <w:lang w:val="et-EE"/>
              </w:rPr>
            </w:pPr>
          </w:p>
        </w:tc>
        <w:tc>
          <w:tcPr>
            <w:tcW w:w="2326" w:type="dxa"/>
            <w:vMerge/>
          </w:tcPr>
          <w:p w:rsidR="007A72D9" w:rsidRDefault="007A72D9" w:rsidP="00831942">
            <w:pPr>
              <w:rPr>
                <w:lang w:val="et-EE"/>
              </w:rPr>
            </w:pPr>
          </w:p>
        </w:tc>
        <w:tc>
          <w:tcPr>
            <w:tcW w:w="2386" w:type="dxa"/>
            <w:shd w:val="clear" w:color="auto" w:fill="A8D08D" w:themeFill="accent6" w:themeFillTint="99"/>
          </w:tcPr>
          <w:p w:rsidR="007A72D9" w:rsidRDefault="007A72D9" w:rsidP="00831942">
            <w:pPr>
              <w:rPr>
                <w:lang w:val="et-EE"/>
              </w:rPr>
            </w:pPr>
            <w:r w:rsidRPr="007A72D9">
              <w:rPr>
                <w:b/>
                <w:bCs/>
                <w:lang w:val="et-EE"/>
              </w:rPr>
              <w:t>Suur risk</w:t>
            </w:r>
            <w:r>
              <w:rPr>
                <w:lang w:val="et-EE"/>
              </w:rPr>
              <w:t xml:space="preserve"> – tugev soovitus poolt</w:t>
            </w:r>
          </w:p>
        </w:tc>
        <w:tc>
          <w:tcPr>
            <w:tcW w:w="2544" w:type="dxa"/>
            <w:vMerge/>
            <w:shd w:val="clear" w:color="auto" w:fill="C5E0B3" w:themeFill="accent6" w:themeFillTint="66"/>
          </w:tcPr>
          <w:p w:rsidR="007A72D9" w:rsidRDefault="007A72D9" w:rsidP="00831942">
            <w:pPr>
              <w:rPr>
                <w:lang w:val="et-EE"/>
              </w:rPr>
            </w:pPr>
          </w:p>
        </w:tc>
      </w:tr>
      <w:tr w:rsidR="007A72D9" w:rsidTr="00104EC3">
        <w:trPr>
          <w:trHeight w:val="335"/>
        </w:trPr>
        <w:tc>
          <w:tcPr>
            <w:tcW w:w="2095" w:type="dxa"/>
            <w:vMerge w:val="restart"/>
          </w:tcPr>
          <w:p w:rsidR="007A72D9" w:rsidRDefault="007A72D9" w:rsidP="00831942">
            <w:pPr>
              <w:rPr>
                <w:lang w:val="et-EE"/>
              </w:rPr>
            </w:pPr>
          </w:p>
        </w:tc>
        <w:tc>
          <w:tcPr>
            <w:tcW w:w="2326" w:type="dxa"/>
            <w:vMerge w:val="restart"/>
          </w:tcPr>
          <w:p w:rsidR="007A72D9" w:rsidRDefault="007A72D9" w:rsidP="00831942">
            <w:pPr>
              <w:rPr>
                <w:lang w:val="et-EE"/>
              </w:rPr>
            </w:pPr>
            <w:r>
              <w:rPr>
                <w:lang w:val="et-EE"/>
              </w:rPr>
              <w:t>Robot</w:t>
            </w:r>
            <w:r w:rsidR="00104EC3">
              <w:rPr>
                <w:lang w:val="et-EE"/>
              </w:rPr>
              <w:t xml:space="preserve"> ilma </w:t>
            </w:r>
            <w:proofErr w:type="spellStart"/>
            <w:r w:rsidR="00104EC3">
              <w:rPr>
                <w:lang w:val="et-EE"/>
              </w:rPr>
              <w:t>lümfadenektoomiata</w:t>
            </w:r>
            <w:proofErr w:type="spellEnd"/>
          </w:p>
        </w:tc>
        <w:tc>
          <w:tcPr>
            <w:tcW w:w="2386" w:type="dxa"/>
            <w:shd w:val="clear" w:color="auto" w:fill="F4B083" w:themeFill="accent2" w:themeFillTint="99"/>
          </w:tcPr>
          <w:p w:rsidR="007A72D9" w:rsidRDefault="007A72D9" w:rsidP="00831942">
            <w:pPr>
              <w:rPr>
                <w:lang w:val="et-EE"/>
              </w:rPr>
            </w:pPr>
            <w:r w:rsidRPr="00104EC3">
              <w:rPr>
                <w:b/>
                <w:bCs/>
                <w:lang w:val="et-EE"/>
              </w:rPr>
              <w:t>Väike risk</w:t>
            </w:r>
            <w:r>
              <w:rPr>
                <w:lang w:val="et-EE"/>
              </w:rPr>
              <w:t xml:space="preserve"> – tugev soovitus </w:t>
            </w:r>
            <w:r w:rsidRPr="00D875E7">
              <w:rPr>
                <w:lang w:val="et-EE"/>
              </w:rPr>
              <w:t>vastu</w:t>
            </w:r>
          </w:p>
        </w:tc>
        <w:tc>
          <w:tcPr>
            <w:tcW w:w="2544" w:type="dxa"/>
            <w:shd w:val="clear" w:color="auto" w:fill="F7CAAC" w:themeFill="accent2" w:themeFillTint="66"/>
          </w:tcPr>
          <w:p w:rsidR="007A72D9" w:rsidRDefault="007A72D9" w:rsidP="00831942">
            <w:pPr>
              <w:rPr>
                <w:lang w:val="et-EE"/>
              </w:rPr>
            </w:pPr>
            <w:r w:rsidRPr="00104EC3">
              <w:rPr>
                <w:b/>
                <w:bCs/>
                <w:lang w:val="et-EE"/>
              </w:rPr>
              <w:t>Väike risk</w:t>
            </w:r>
            <w:r>
              <w:rPr>
                <w:lang w:val="et-EE"/>
              </w:rPr>
              <w:t xml:space="preserve"> – nõrk soovitus vastu</w:t>
            </w:r>
          </w:p>
        </w:tc>
      </w:tr>
      <w:tr w:rsidR="007A72D9" w:rsidTr="00104EC3">
        <w:trPr>
          <w:trHeight w:val="333"/>
        </w:trPr>
        <w:tc>
          <w:tcPr>
            <w:tcW w:w="2095" w:type="dxa"/>
            <w:vMerge/>
          </w:tcPr>
          <w:p w:rsidR="007A72D9" w:rsidRDefault="007A72D9" w:rsidP="00831942">
            <w:pPr>
              <w:rPr>
                <w:lang w:val="et-EE"/>
              </w:rPr>
            </w:pPr>
          </w:p>
        </w:tc>
        <w:tc>
          <w:tcPr>
            <w:tcW w:w="2326" w:type="dxa"/>
            <w:vMerge/>
          </w:tcPr>
          <w:p w:rsidR="007A72D9" w:rsidRDefault="007A72D9" w:rsidP="00831942">
            <w:pPr>
              <w:rPr>
                <w:lang w:val="et-EE"/>
              </w:rPr>
            </w:pPr>
          </w:p>
        </w:tc>
        <w:tc>
          <w:tcPr>
            <w:tcW w:w="2386" w:type="dxa"/>
            <w:shd w:val="clear" w:color="auto" w:fill="F7CAAC" w:themeFill="accent2" w:themeFillTint="66"/>
          </w:tcPr>
          <w:p w:rsidR="007A72D9" w:rsidRDefault="00104EC3" w:rsidP="00831942">
            <w:pPr>
              <w:rPr>
                <w:lang w:val="et-EE"/>
              </w:rPr>
            </w:pPr>
            <w:r w:rsidRPr="00104EC3">
              <w:rPr>
                <w:b/>
                <w:bCs/>
                <w:lang w:val="et-EE"/>
              </w:rPr>
              <w:t>Keskmine risk</w:t>
            </w:r>
            <w:r>
              <w:rPr>
                <w:lang w:val="et-EE"/>
              </w:rPr>
              <w:t xml:space="preserve"> – nõrk soovitus vastu</w:t>
            </w:r>
          </w:p>
        </w:tc>
        <w:tc>
          <w:tcPr>
            <w:tcW w:w="2544" w:type="dxa"/>
            <w:shd w:val="clear" w:color="auto" w:fill="C5E0B3" w:themeFill="accent6" w:themeFillTint="66"/>
          </w:tcPr>
          <w:p w:rsidR="007A72D9" w:rsidRDefault="00104EC3" w:rsidP="00831942">
            <w:pPr>
              <w:rPr>
                <w:lang w:val="et-EE"/>
              </w:rPr>
            </w:pPr>
            <w:r w:rsidRPr="00104EC3">
              <w:rPr>
                <w:b/>
                <w:bCs/>
                <w:lang w:val="et-EE"/>
              </w:rPr>
              <w:t>Keskmine</w:t>
            </w:r>
            <w:r w:rsidRPr="00104EC3">
              <w:rPr>
                <w:b/>
                <w:bCs/>
                <w:lang w:val="et-EE"/>
              </w:rPr>
              <w:t xml:space="preserve"> risk</w:t>
            </w:r>
            <w:r>
              <w:rPr>
                <w:lang w:val="et-EE"/>
              </w:rPr>
              <w:t xml:space="preserve"> – nõrk soovitus poolt </w:t>
            </w:r>
          </w:p>
        </w:tc>
      </w:tr>
      <w:tr w:rsidR="007A72D9" w:rsidTr="00104EC3">
        <w:trPr>
          <w:trHeight w:val="333"/>
        </w:trPr>
        <w:tc>
          <w:tcPr>
            <w:tcW w:w="2095" w:type="dxa"/>
            <w:vMerge/>
          </w:tcPr>
          <w:p w:rsidR="007A72D9" w:rsidRDefault="007A72D9" w:rsidP="00831942">
            <w:pPr>
              <w:rPr>
                <w:lang w:val="et-EE"/>
              </w:rPr>
            </w:pPr>
          </w:p>
        </w:tc>
        <w:tc>
          <w:tcPr>
            <w:tcW w:w="2326" w:type="dxa"/>
            <w:vMerge/>
          </w:tcPr>
          <w:p w:rsidR="007A72D9" w:rsidRDefault="007A72D9" w:rsidP="00831942">
            <w:pPr>
              <w:rPr>
                <w:lang w:val="et-EE"/>
              </w:rPr>
            </w:pPr>
          </w:p>
        </w:tc>
        <w:tc>
          <w:tcPr>
            <w:tcW w:w="2386" w:type="dxa"/>
            <w:shd w:val="clear" w:color="auto" w:fill="F7CAAC" w:themeFill="accent2" w:themeFillTint="66"/>
          </w:tcPr>
          <w:p w:rsidR="007A72D9" w:rsidRDefault="00104EC3" w:rsidP="00831942">
            <w:pPr>
              <w:rPr>
                <w:lang w:val="et-EE"/>
              </w:rPr>
            </w:pPr>
            <w:r w:rsidRPr="00104EC3">
              <w:rPr>
                <w:b/>
                <w:bCs/>
                <w:lang w:val="et-EE"/>
              </w:rPr>
              <w:t>Suur risk</w:t>
            </w:r>
            <w:r>
              <w:rPr>
                <w:lang w:val="et-EE"/>
              </w:rPr>
              <w:t xml:space="preserve"> – nõrk soovitus vastu</w:t>
            </w:r>
          </w:p>
        </w:tc>
        <w:tc>
          <w:tcPr>
            <w:tcW w:w="2544" w:type="dxa"/>
            <w:shd w:val="clear" w:color="auto" w:fill="C5E0B3" w:themeFill="accent6" w:themeFillTint="66"/>
          </w:tcPr>
          <w:p w:rsidR="007A72D9" w:rsidRDefault="00104EC3" w:rsidP="00831942">
            <w:pPr>
              <w:rPr>
                <w:lang w:val="et-EE"/>
              </w:rPr>
            </w:pPr>
            <w:r w:rsidRPr="00104EC3">
              <w:rPr>
                <w:b/>
                <w:bCs/>
                <w:lang w:val="et-EE"/>
              </w:rPr>
              <w:t>Suur risk</w:t>
            </w:r>
            <w:r>
              <w:rPr>
                <w:lang w:val="et-EE"/>
              </w:rPr>
              <w:t xml:space="preserve"> – nõrk soovitus poolt </w:t>
            </w:r>
          </w:p>
        </w:tc>
      </w:tr>
      <w:tr w:rsidR="00104EC3" w:rsidTr="00104EC3">
        <w:trPr>
          <w:trHeight w:val="403"/>
        </w:trPr>
        <w:tc>
          <w:tcPr>
            <w:tcW w:w="2095" w:type="dxa"/>
            <w:vMerge w:val="restart"/>
          </w:tcPr>
          <w:p w:rsidR="00104EC3" w:rsidRDefault="00104EC3" w:rsidP="00104EC3">
            <w:pPr>
              <w:rPr>
                <w:lang w:val="et-EE"/>
              </w:rPr>
            </w:pPr>
          </w:p>
        </w:tc>
        <w:tc>
          <w:tcPr>
            <w:tcW w:w="2326" w:type="dxa"/>
            <w:vMerge w:val="restart"/>
          </w:tcPr>
          <w:p w:rsidR="00104EC3" w:rsidRDefault="00104EC3" w:rsidP="00104EC3">
            <w:pPr>
              <w:rPr>
                <w:lang w:val="et-EE"/>
              </w:rPr>
            </w:pPr>
            <w:r>
              <w:rPr>
                <w:lang w:val="et-EE"/>
              </w:rPr>
              <w:t xml:space="preserve">Robot + </w:t>
            </w:r>
            <w:proofErr w:type="spellStart"/>
            <w:r>
              <w:rPr>
                <w:lang w:val="et-EE"/>
              </w:rPr>
              <w:t>sPLND</w:t>
            </w:r>
            <w:proofErr w:type="spellEnd"/>
          </w:p>
        </w:tc>
        <w:tc>
          <w:tcPr>
            <w:tcW w:w="2386" w:type="dxa"/>
            <w:shd w:val="clear" w:color="auto" w:fill="F4B083" w:themeFill="accent2" w:themeFillTint="99"/>
          </w:tcPr>
          <w:p w:rsidR="00104EC3" w:rsidRDefault="00104EC3" w:rsidP="00104EC3">
            <w:pPr>
              <w:rPr>
                <w:lang w:val="et-EE"/>
              </w:rPr>
            </w:pPr>
            <w:r w:rsidRPr="00104EC3">
              <w:rPr>
                <w:b/>
                <w:bCs/>
                <w:lang w:val="et-EE"/>
              </w:rPr>
              <w:t>Väike risk</w:t>
            </w:r>
            <w:r>
              <w:rPr>
                <w:lang w:val="et-EE"/>
              </w:rPr>
              <w:t xml:space="preserve"> – tugev soovitus </w:t>
            </w:r>
            <w:r w:rsidRPr="00D875E7">
              <w:rPr>
                <w:lang w:val="et-EE"/>
              </w:rPr>
              <w:t>vastu</w:t>
            </w:r>
          </w:p>
        </w:tc>
        <w:tc>
          <w:tcPr>
            <w:tcW w:w="2544" w:type="dxa"/>
            <w:vMerge w:val="restart"/>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402"/>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shd w:val="clear" w:color="auto" w:fill="F7CAAC" w:themeFill="accent2" w:themeFillTint="66"/>
          </w:tcPr>
          <w:p w:rsidR="00104EC3" w:rsidRDefault="00104EC3" w:rsidP="00104EC3">
            <w:pPr>
              <w:rPr>
                <w:lang w:val="et-EE"/>
              </w:rPr>
            </w:pPr>
            <w:r w:rsidRPr="00104EC3">
              <w:rPr>
                <w:b/>
                <w:bCs/>
                <w:lang w:val="et-EE"/>
              </w:rPr>
              <w:t>Keskmine risk</w:t>
            </w:r>
            <w:r>
              <w:rPr>
                <w:lang w:val="et-EE"/>
              </w:rPr>
              <w:t xml:space="preserve"> – nõrk soovitus vastu</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402"/>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403"/>
        </w:trPr>
        <w:tc>
          <w:tcPr>
            <w:tcW w:w="2095" w:type="dxa"/>
            <w:vMerge w:val="restart"/>
          </w:tcPr>
          <w:p w:rsidR="00104EC3" w:rsidRDefault="00104EC3" w:rsidP="00104EC3">
            <w:pPr>
              <w:rPr>
                <w:lang w:val="et-EE"/>
              </w:rPr>
            </w:pPr>
          </w:p>
        </w:tc>
        <w:tc>
          <w:tcPr>
            <w:tcW w:w="2326" w:type="dxa"/>
            <w:vMerge w:val="restart"/>
          </w:tcPr>
          <w:p w:rsidR="00104EC3" w:rsidRDefault="00104EC3" w:rsidP="00104EC3">
            <w:pPr>
              <w:rPr>
                <w:lang w:val="et-EE"/>
              </w:rPr>
            </w:pPr>
            <w:r>
              <w:rPr>
                <w:lang w:val="et-EE"/>
              </w:rPr>
              <w:t xml:space="preserve">Robot + </w:t>
            </w:r>
            <w:proofErr w:type="spellStart"/>
            <w:r>
              <w:rPr>
                <w:lang w:val="et-EE"/>
              </w:rPr>
              <w:t>ePLND</w:t>
            </w:r>
            <w:proofErr w:type="spellEnd"/>
          </w:p>
        </w:tc>
        <w:tc>
          <w:tcPr>
            <w:tcW w:w="2386" w:type="dxa"/>
            <w:tcBorders>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nõrk soovitus </w:t>
            </w:r>
            <w:r w:rsidRPr="00D875E7">
              <w:rPr>
                <w:lang w:val="et-EE"/>
              </w:rPr>
              <w:t>vastu</w:t>
            </w:r>
          </w:p>
        </w:tc>
        <w:tc>
          <w:tcPr>
            <w:tcW w:w="2544" w:type="dxa"/>
            <w:vMerge w:val="restart"/>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402"/>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bottom w:val="single" w:sz="8" w:space="0" w:color="000000"/>
            </w:tcBorders>
            <w:shd w:val="clear" w:color="auto" w:fill="C5E0B3" w:themeFill="accent6" w:themeFillTint="66"/>
          </w:tcPr>
          <w:p w:rsidR="00104EC3" w:rsidRDefault="00104EC3" w:rsidP="00104EC3">
            <w:pPr>
              <w:rPr>
                <w:lang w:val="et-EE"/>
              </w:rPr>
            </w:pPr>
            <w:r w:rsidRPr="00104EC3">
              <w:rPr>
                <w:b/>
                <w:bCs/>
                <w:lang w:val="et-EE"/>
              </w:rPr>
              <w:t>Keskmine risk</w:t>
            </w:r>
            <w:r>
              <w:rPr>
                <w:lang w:val="et-EE"/>
              </w:rPr>
              <w:t xml:space="preserve"> – nõrk soovitus poolt</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402"/>
        </w:trPr>
        <w:tc>
          <w:tcPr>
            <w:tcW w:w="2095" w:type="dxa"/>
            <w:vMerge/>
            <w:tcBorders>
              <w:bottom w:val="single" w:sz="24" w:space="0" w:color="000000"/>
            </w:tcBorders>
          </w:tcPr>
          <w:p w:rsidR="00104EC3" w:rsidRDefault="00104EC3" w:rsidP="00104EC3">
            <w:pPr>
              <w:rPr>
                <w:lang w:val="et-EE"/>
              </w:rPr>
            </w:pPr>
          </w:p>
        </w:tc>
        <w:tc>
          <w:tcPr>
            <w:tcW w:w="2326" w:type="dxa"/>
            <w:vMerge/>
            <w:tcBorders>
              <w:bottom w:val="single" w:sz="24" w:space="0" w:color="000000"/>
            </w:tcBorders>
          </w:tcPr>
          <w:p w:rsidR="00104EC3" w:rsidRDefault="00104EC3" w:rsidP="00104EC3">
            <w:pPr>
              <w:rPr>
                <w:lang w:val="et-EE"/>
              </w:rPr>
            </w:pPr>
          </w:p>
        </w:tc>
        <w:tc>
          <w:tcPr>
            <w:tcW w:w="2386" w:type="dxa"/>
            <w:tcBorders>
              <w:top w:val="single" w:sz="8" w:space="0" w:color="000000"/>
              <w:bottom w:val="single" w:sz="24" w:space="0" w:color="000000"/>
            </w:tcBorders>
            <w:shd w:val="clear" w:color="auto" w:fill="A8D08D" w:themeFill="accent6" w:themeFillTint="99"/>
          </w:tcPr>
          <w:p w:rsidR="00104EC3" w:rsidRDefault="00104EC3" w:rsidP="00104EC3">
            <w:pPr>
              <w:rPr>
                <w:lang w:val="et-EE"/>
              </w:rPr>
            </w:pPr>
            <w:r w:rsidRPr="00104EC3">
              <w:rPr>
                <w:b/>
                <w:bCs/>
                <w:lang w:val="et-EE"/>
              </w:rPr>
              <w:t>Suur risk</w:t>
            </w:r>
            <w:r>
              <w:rPr>
                <w:lang w:val="et-EE"/>
              </w:rPr>
              <w:t xml:space="preserve"> – tugev soovitus poolt</w:t>
            </w:r>
          </w:p>
        </w:tc>
        <w:tc>
          <w:tcPr>
            <w:tcW w:w="2544" w:type="dxa"/>
            <w:vMerge/>
            <w:tcBorders>
              <w:bottom w:val="single" w:sz="24" w:space="0" w:color="000000"/>
            </w:tcBorders>
            <w:shd w:val="clear" w:color="auto" w:fill="C5E0B3" w:themeFill="accent6" w:themeFillTint="66"/>
          </w:tcPr>
          <w:p w:rsidR="00104EC3" w:rsidRDefault="00104EC3" w:rsidP="00104EC3">
            <w:pPr>
              <w:rPr>
                <w:lang w:val="et-EE"/>
              </w:rPr>
            </w:pPr>
          </w:p>
        </w:tc>
      </w:tr>
      <w:tr w:rsidR="00104EC3" w:rsidTr="00104EC3">
        <w:trPr>
          <w:trHeight w:val="271"/>
        </w:trPr>
        <w:tc>
          <w:tcPr>
            <w:tcW w:w="2095" w:type="dxa"/>
            <w:vMerge w:val="restart"/>
            <w:tcBorders>
              <w:top w:val="single" w:sz="24" w:space="0" w:color="000000"/>
            </w:tcBorders>
          </w:tcPr>
          <w:p w:rsidR="00104EC3" w:rsidRDefault="00104EC3" w:rsidP="00104EC3">
            <w:pPr>
              <w:rPr>
                <w:lang w:val="et-EE"/>
              </w:rPr>
            </w:pPr>
            <w:r>
              <w:rPr>
                <w:lang w:val="et-EE"/>
              </w:rPr>
              <w:t xml:space="preserve">Neeru </w:t>
            </w:r>
            <w:proofErr w:type="spellStart"/>
            <w:r>
              <w:rPr>
                <w:lang w:val="et-EE"/>
              </w:rPr>
              <w:t>resektsioon</w:t>
            </w:r>
            <w:proofErr w:type="spellEnd"/>
          </w:p>
        </w:tc>
        <w:tc>
          <w:tcPr>
            <w:tcW w:w="2326" w:type="dxa"/>
            <w:vMerge w:val="restart"/>
            <w:tcBorders>
              <w:top w:val="single" w:sz="24" w:space="0" w:color="000000"/>
            </w:tcBorders>
          </w:tcPr>
          <w:p w:rsidR="00104EC3" w:rsidRDefault="00104EC3" w:rsidP="00104EC3">
            <w:pPr>
              <w:rPr>
                <w:lang w:val="et-EE"/>
              </w:rPr>
            </w:pPr>
            <w:proofErr w:type="spellStart"/>
            <w:r>
              <w:rPr>
                <w:lang w:val="et-EE"/>
              </w:rPr>
              <w:t>endoskoopiline</w:t>
            </w:r>
            <w:proofErr w:type="spellEnd"/>
          </w:p>
        </w:tc>
        <w:tc>
          <w:tcPr>
            <w:tcW w:w="2386" w:type="dxa"/>
            <w:tcBorders>
              <w:top w:val="single" w:sz="24"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 xml:space="preserve">Väike </w:t>
            </w:r>
            <w:r w:rsidRPr="00104EC3">
              <w:rPr>
                <w:b/>
                <w:bCs/>
                <w:lang w:val="et-EE"/>
              </w:rPr>
              <w:t>risk</w:t>
            </w:r>
            <w:r>
              <w:rPr>
                <w:lang w:val="et-EE"/>
              </w:rPr>
              <w:t xml:space="preserve"> – nõrk soovitus vastu</w:t>
            </w:r>
            <w:r>
              <w:rPr>
                <w:lang w:val="et-EE"/>
              </w:rPr>
              <w:t xml:space="preserve"> </w:t>
            </w:r>
          </w:p>
        </w:tc>
        <w:tc>
          <w:tcPr>
            <w:tcW w:w="2544" w:type="dxa"/>
            <w:vMerge w:val="restart"/>
            <w:tcBorders>
              <w:top w:val="single" w:sz="24" w:space="0" w:color="000000"/>
            </w:tcBorders>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269"/>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K</w:t>
            </w:r>
            <w:r w:rsidRPr="00104EC3">
              <w:rPr>
                <w:b/>
                <w:bCs/>
                <w:lang w:val="et-EE"/>
              </w:rPr>
              <w:t>eskmine risk</w:t>
            </w:r>
            <w:r>
              <w:rPr>
                <w:lang w:val="et-EE"/>
              </w:rPr>
              <w:t xml:space="preserve"> – nõrk soovitus vastu</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269"/>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tcBorders>
            <w:shd w:val="clear" w:color="auto" w:fill="A8D08D" w:themeFill="accent6" w:themeFillTint="99"/>
          </w:tcPr>
          <w:p w:rsidR="00104EC3" w:rsidRDefault="00104EC3" w:rsidP="00104EC3">
            <w:pPr>
              <w:rPr>
                <w:lang w:val="et-EE"/>
              </w:rPr>
            </w:pPr>
            <w:r w:rsidRPr="00104EC3">
              <w:rPr>
                <w:b/>
                <w:bCs/>
                <w:lang w:val="et-EE"/>
              </w:rPr>
              <w:t>Suur risk</w:t>
            </w:r>
            <w:r>
              <w:rPr>
                <w:lang w:val="et-EE"/>
              </w:rPr>
              <w:t xml:space="preserve"> – tugev soovitus poolt</w:t>
            </w:r>
          </w:p>
        </w:tc>
        <w:tc>
          <w:tcPr>
            <w:tcW w:w="2544" w:type="dxa"/>
            <w:vMerge/>
            <w:shd w:val="clear" w:color="auto" w:fill="C5E0B3" w:themeFill="accent6" w:themeFillTint="66"/>
          </w:tcPr>
          <w:p w:rsidR="00104EC3" w:rsidRDefault="00104EC3" w:rsidP="00104EC3">
            <w:pPr>
              <w:rPr>
                <w:lang w:val="et-EE"/>
              </w:rPr>
            </w:pPr>
          </w:p>
        </w:tc>
      </w:tr>
      <w:tr w:rsidR="00104EC3" w:rsidTr="00104EC3">
        <w:tc>
          <w:tcPr>
            <w:tcW w:w="2095" w:type="dxa"/>
          </w:tcPr>
          <w:p w:rsidR="00104EC3" w:rsidRDefault="00104EC3" w:rsidP="00104EC3">
            <w:pPr>
              <w:rPr>
                <w:lang w:val="et-EE"/>
              </w:rPr>
            </w:pPr>
          </w:p>
        </w:tc>
        <w:tc>
          <w:tcPr>
            <w:tcW w:w="2326" w:type="dxa"/>
          </w:tcPr>
          <w:p w:rsidR="00104EC3" w:rsidRDefault="00104EC3" w:rsidP="00104EC3">
            <w:pPr>
              <w:rPr>
                <w:lang w:val="et-EE"/>
              </w:rPr>
            </w:pPr>
            <w:r>
              <w:rPr>
                <w:lang w:val="et-EE"/>
              </w:rPr>
              <w:t>lahtine</w:t>
            </w:r>
          </w:p>
        </w:tc>
        <w:tc>
          <w:tcPr>
            <w:tcW w:w="2386"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w:t>
            </w:r>
          </w:p>
        </w:tc>
        <w:tc>
          <w:tcPr>
            <w:tcW w:w="2544"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403"/>
        </w:trPr>
        <w:tc>
          <w:tcPr>
            <w:tcW w:w="2095" w:type="dxa"/>
            <w:vMerge w:val="restart"/>
          </w:tcPr>
          <w:p w:rsidR="00104EC3" w:rsidRDefault="00104EC3" w:rsidP="00104EC3">
            <w:pPr>
              <w:rPr>
                <w:lang w:val="et-EE"/>
              </w:rPr>
            </w:pPr>
          </w:p>
        </w:tc>
        <w:tc>
          <w:tcPr>
            <w:tcW w:w="2326" w:type="dxa"/>
            <w:vMerge w:val="restart"/>
          </w:tcPr>
          <w:p w:rsidR="00104EC3" w:rsidRDefault="00104EC3" w:rsidP="00104EC3">
            <w:pPr>
              <w:rPr>
                <w:lang w:val="et-EE"/>
              </w:rPr>
            </w:pPr>
            <w:r>
              <w:rPr>
                <w:lang w:val="et-EE"/>
              </w:rPr>
              <w:t>robot</w:t>
            </w:r>
          </w:p>
        </w:tc>
        <w:tc>
          <w:tcPr>
            <w:tcW w:w="2386" w:type="dxa"/>
            <w:tcBorders>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nõrk soovitus vastu</w:t>
            </w:r>
          </w:p>
        </w:tc>
        <w:tc>
          <w:tcPr>
            <w:tcW w:w="2544" w:type="dxa"/>
            <w:vMerge w:val="restart"/>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402"/>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bottom w:val="single" w:sz="8" w:space="0" w:color="000000"/>
            </w:tcBorders>
            <w:shd w:val="clear" w:color="auto" w:fill="C5E0B3" w:themeFill="accent6" w:themeFillTint="66"/>
          </w:tcPr>
          <w:p w:rsidR="00104EC3" w:rsidRDefault="00104EC3" w:rsidP="00104EC3">
            <w:pPr>
              <w:rPr>
                <w:lang w:val="et-EE"/>
              </w:rPr>
            </w:pPr>
            <w:r w:rsidRPr="00104EC3">
              <w:rPr>
                <w:b/>
                <w:bCs/>
                <w:lang w:val="et-EE"/>
              </w:rPr>
              <w:t>Keskmine risk</w:t>
            </w:r>
            <w:r>
              <w:rPr>
                <w:lang w:val="et-EE"/>
              </w:rPr>
              <w:t xml:space="preserve"> – nõrk soovitus poolt</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402"/>
        </w:trPr>
        <w:tc>
          <w:tcPr>
            <w:tcW w:w="2095" w:type="dxa"/>
            <w:vMerge/>
            <w:tcBorders>
              <w:bottom w:val="single" w:sz="24" w:space="0" w:color="000000"/>
            </w:tcBorders>
          </w:tcPr>
          <w:p w:rsidR="00104EC3" w:rsidRDefault="00104EC3" w:rsidP="00104EC3">
            <w:pPr>
              <w:rPr>
                <w:lang w:val="et-EE"/>
              </w:rPr>
            </w:pPr>
          </w:p>
        </w:tc>
        <w:tc>
          <w:tcPr>
            <w:tcW w:w="2326" w:type="dxa"/>
            <w:vMerge/>
            <w:tcBorders>
              <w:bottom w:val="single" w:sz="24" w:space="0" w:color="000000"/>
            </w:tcBorders>
          </w:tcPr>
          <w:p w:rsidR="00104EC3" w:rsidRDefault="00104EC3" w:rsidP="00104EC3">
            <w:pPr>
              <w:rPr>
                <w:lang w:val="et-EE"/>
              </w:rPr>
            </w:pPr>
          </w:p>
        </w:tc>
        <w:tc>
          <w:tcPr>
            <w:tcW w:w="2386" w:type="dxa"/>
            <w:tcBorders>
              <w:top w:val="single" w:sz="8" w:space="0" w:color="000000"/>
              <w:bottom w:val="single" w:sz="24" w:space="0" w:color="000000"/>
            </w:tcBorders>
            <w:shd w:val="clear" w:color="auto" w:fill="A8D08D" w:themeFill="accent6" w:themeFillTint="99"/>
          </w:tcPr>
          <w:p w:rsidR="00104EC3" w:rsidRDefault="00104EC3" w:rsidP="00104EC3">
            <w:pPr>
              <w:rPr>
                <w:lang w:val="et-EE"/>
              </w:rPr>
            </w:pPr>
            <w:r w:rsidRPr="00104EC3">
              <w:rPr>
                <w:b/>
                <w:bCs/>
                <w:lang w:val="et-EE"/>
              </w:rPr>
              <w:t>Suur risk</w:t>
            </w:r>
            <w:r>
              <w:rPr>
                <w:lang w:val="et-EE"/>
              </w:rPr>
              <w:t xml:space="preserve"> – tugev soovitus poolt</w:t>
            </w:r>
          </w:p>
        </w:tc>
        <w:tc>
          <w:tcPr>
            <w:tcW w:w="2544" w:type="dxa"/>
            <w:vMerge/>
            <w:tcBorders>
              <w:bottom w:val="single" w:sz="24" w:space="0" w:color="000000"/>
            </w:tcBorders>
            <w:shd w:val="clear" w:color="auto" w:fill="C5E0B3" w:themeFill="accent6" w:themeFillTint="66"/>
          </w:tcPr>
          <w:p w:rsidR="00104EC3" w:rsidRDefault="00104EC3" w:rsidP="00104EC3">
            <w:pPr>
              <w:rPr>
                <w:lang w:val="et-EE"/>
              </w:rPr>
            </w:pPr>
          </w:p>
        </w:tc>
      </w:tr>
      <w:tr w:rsidR="00104EC3" w:rsidTr="00104EC3">
        <w:trPr>
          <w:trHeight w:val="271"/>
        </w:trPr>
        <w:tc>
          <w:tcPr>
            <w:tcW w:w="2095" w:type="dxa"/>
            <w:vMerge w:val="restart"/>
            <w:tcBorders>
              <w:top w:val="single" w:sz="24" w:space="0" w:color="000000"/>
            </w:tcBorders>
          </w:tcPr>
          <w:p w:rsidR="00104EC3" w:rsidRDefault="00104EC3" w:rsidP="00104EC3">
            <w:pPr>
              <w:rPr>
                <w:lang w:val="et-EE"/>
              </w:rPr>
            </w:pPr>
            <w:proofErr w:type="spellStart"/>
            <w:r>
              <w:rPr>
                <w:lang w:val="et-EE"/>
              </w:rPr>
              <w:t>Nefrektoomia</w:t>
            </w:r>
            <w:proofErr w:type="spellEnd"/>
          </w:p>
        </w:tc>
        <w:tc>
          <w:tcPr>
            <w:tcW w:w="2326" w:type="dxa"/>
            <w:vMerge w:val="restart"/>
            <w:tcBorders>
              <w:top w:val="single" w:sz="24" w:space="0" w:color="000000"/>
            </w:tcBorders>
          </w:tcPr>
          <w:p w:rsidR="00104EC3" w:rsidRDefault="00104EC3" w:rsidP="00104EC3">
            <w:pPr>
              <w:rPr>
                <w:lang w:val="et-EE"/>
              </w:rPr>
            </w:pPr>
            <w:proofErr w:type="spellStart"/>
            <w:r>
              <w:rPr>
                <w:lang w:val="et-EE"/>
              </w:rPr>
              <w:t>endoskoopiline</w:t>
            </w:r>
            <w:proofErr w:type="spellEnd"/>
          </w:p>
        </w:tc>
        <w:tc>
          <w:tcPr>
            <w:tcW w:w="2386" w:type="dxa"/>
            <w:tcBorders>
              <w:top w:val="single" w:sz="24"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 xml:space="preserve">Väike </w:t>
            </w:r>
            <w:r w:rsidRPr="00104EC3">
              <w:rPr>
                <w:b/>
                <w:bCs/>
                <w:lang w:val="et-EE"/>
              </w:rPr>
              <w:t>risk</w:t>
            </w:r>
            <w:r>
              <w:rPr>
                <w:lang w:val="et-EE"/>
              </w:rPr>
              <w:t xml:space="preserve"> – nõrk soovitus vastu</w:t>
            </w:r>
            <w:r>
              <w:rPr>
                <w:lang w:val="et-EE"/>
              </w:rPr>
              <w:t xml:space="preserve"> </w:t>
            </w:r>
          </w:p>
        </w:tc>
        <w:tc>
          <w:tcPr>
            <w:tcW w:w="2544" w:type="dxa"/>
            <w:vMerge w:val="restart"/>
            <w:tcBorders>
              <w:top w:val="single" w:sz="24" w:space="0" w:color="000000"/>
            </w:tcBorders>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269"/>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bottom w:val="single" w:sz="8" w:space="0" w:color="000000"/>
            </w:tcBorders>
            <w:shd w:val="clear" w:color="auto" w:fill="F7CAAC" w:themeFill="accent2" w:themeFillTint="66"/>
          </w:tcPr>
          <w:p w:rsidR="00104EC3" w:rsidRDefault="00104EC3" w:rsidP="00104EC3">
            <w:pPr>
              <w:rPr>
                <w:lang w:val="et-EE"/>
              </w:rPr>
            </w:pPr>
            <w:r>
              <w:rPr>
                <w:b/>
                <w:bCs/>
                <w:lang w:val="et-EE"/>
              </w:rPr>
              <w:t>K</w:t>
            </w:r>
            <w:r w:rsidRPr="00104EC3">
              <w:rPr>
                <w:b/>
                <w:bCs/>
                <w:lang w:val="et-EE"/>
              </w:rPr>
              <w:t>eskmine risk</w:t>
            </w:r>
            <w:r>
              <w:rPr>
                <w:lang w:val="et-EE"/>
              </w:rPr>
              <w:t xml:space="preserve"> – nõrk soovitus vastu</w:t>
            </w:r>
          </w:p>
        </w:tc>
        <w:tc>
          <w:tcPr>
            <w:tcW w:w="2544" w:type="dxa"/>
            <w:vMerge/>
            <w:shd w:val="clear" w:color="auto" w:fill="C5E0B3" w:themeFill="accent6" w:themeFillTint="66"/>
          </w:tcPr>
          <w:p w:rsidR="00104EC3" w:rsidRDefault="00104EC3" w:rsidP="00104EC3">
            <w:pPr>
              <w:rPr>
                <w:lang w:val="et-EE"/>
              </w:rPr>
            </w:pPr>
          </w:p>
        </w:tc>
      </w:tr>
      <w:tr w:rsidR="00104EC3" w:rsidTr="00104EC3">
        <w:trPr>
          <w:trHeight w:val="269"/>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tcBorders>
              <w:top w:val="single" w:sz="8" w:space="0" w:color="000000"/>
            </w:tcBorders>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c>
          <w:tcPr>
            <w:tcW w:w="2544" w:type="dxa"/>
            <w:vMerge/>
            <w:shd w:val="clear" w:color="auto" w:fill="C5E0B3" w:themeFill="accent6" w:themeFillTint="66"/>
          </w:tcPr>
          <w:p w:rsidR="00104EC3" w:rsidRDefault="00104EC3" w:rsidP="00104EC3">
            <w:pPr>
              <w:rPr>
                <w:lang w:val="et-EE"/>
              </w:rPr>
            </w:pPr>
          </w:p>
        </w:tc>
      </w:tr>
      <w:tr w:rsidR="00104EC3" w:rsidTr="00104EC3">
        <w:tc>
          <w:tcPr>
            <w:tcW w:w="2095" w:type="dxa"/>
          </w:tcPr>
          <w:p w:rsidR="00104EC3" w:rsidRDefault="00104EC3" w:rsidP="00104EC3">
            <w:pPr>
              <w:rPr>
                <w:lang w:val="et-EE"/>
              </w:rPr>
            </w:pPr>
          </w:p>
        </w:tc>
        <w:tc>
          <w:tcPr>
            <w:tcW w:w="2326" w:type="dxa"/>
          </w:tcPr>
          <w:p w:rsidR="00104EC3" w:rsidRDefault="00104EC3" w:rsidP="00104EC3">
            <w:pPr>
              <w:rPr>
                <w:lang w:val="et-EE"/>
              </w:rPr>
            </w:pPr>
            <w:r>
              <w:rPr>
                <w:lang w:val="et-EE"/>
              </w:rPr>
              <w:t>lahtine</w:t>
            </w:r>
          </w:p>
        </w:tc>
        <w:tc>
          <w:tcPr>
            <w:tcW w:w="2386"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w:t>
            </w:r>
          </w:p>
        </w:tc>
        <w:tc>
          <w:tcPr>
            <w:tcW w:w="2544"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c>
          <w:tcPr>
            <w:tcW w:w="2095" w:type="dxa"/>
          </w:tcPr>
          <w:p w:rsidR="00104EC3" w:rsidRDefault="00104EC3" w:rsidP="00104EC3">
            <w:pPr>
              <w:rPr>
                <w:lang w:val="et-EE"/>
              </w:rPr>
            </w:pPr>
          </w:p>
        </w:tc>
        <w:tc>
          <w:tcPr>
            <w:tcW w:w="2326" w:type="dxa"/>
          </w:tcPr>
          <w:p w:rsidR="00104EC3" w:rsidRDefault="00104EC3" w:rsidP="00104EC3">
            <w:pPr>
              <w:rPr>
                <w:lang w:val="et-EE"/>
              </w:rPr>
            </w:pPr>
            <w:proofErr w:type="spellStart"/>
            <w:r>
              <w:rPr>
                <w:lang w:val="et-EE"/>
              </w:rPr>
              <w:t>Nefrektoomia</w:t>
            </w:r>
            <w:proofErr w:type="spellEnd"/>
            <w:r>
              <w:rPr>
                <w:lang w:val="et-EE"/>
              </w:rPr>
              <w:t xml:space="preserve"> koos </w:t>
            </w:r>
            <w:proofErr w:type="spellStart"/>
            <w:r>
              <w:rPr>
                <w:lang w:val="et-EE"/>
              </w:rPr>
              <w:t>trombektoomiaga</w:t>
            </w:r>
            <w:proofErr w:type="spellEnd"/>
          </w:p>
        </w:tc>
        <w:tc>
          <w:tcPr>
            <w:tcW w:w="2386"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w:t>
            </w:r>
          </w:p>
        </w:tc>
        <w:tc>
          <w:tcPr>
            <w:tcW w:w="2544"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c>
          <w:tcPr>
            <w:tcW w:w="2095" w:type="dxa"/>
          </w:tcPr>
          <w:p w:rsidR="00104EC3" w:rsidRDefault="00104EC3" w:rsidP="00104EC3">
            <w:pPr>
              <w:rPr>
                <w:lang w:val="et-EE"/>
              </w:rPr>
            </w:pPr>
          </w:p>
        </w:tc>
        <w:tc>
          <w:tcPr>
            <w:tcW w:w="2326" w:type="dxa"/>
          </w:tcPr>
          <w:p w:rsidR="00104EC3" w:rsidRDefault="00104EC3" w:rsidP="00104EC3">
            <w:pPr>
              <w:rPr>
                <w:lang w:val="et-EE"/>
              </w:rPr>
            </w:pPr>
            <w:r>
              <w:rPr>
                <w:lang w:val="et-EE"/>
              </w:rPr>
              <w:t xml:space="preserve">Lahtine </w:t>
            </w:r>
            <w:proofErr w:type="spellStart"/>
            <w:r>
              <w:rPr>
                <w:lang w:val="et-EE"/>
              </w:rPr>
              <w:t>nefroureterektoomia</w:t>
            </w:r>
            <w:proofErr w:type="spellEnd"/>
          </w:p>
        </w:tc>
        <w:tc>
          <w:tcPr>
            <w:tcW w:w="2386"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w:t>
            </w:r>
          </w:p>
        </w:tc>
        <w:tc>
          <w:tcPr>
            <w:tcW w:w="2544" w:type="dxa"/>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271"/>
        </w:trPr>
        <w:tc>
          <w:tcPr>
            <w:tcW w:w="2095" w:type="dxa"/>
            <w:vMerge w:val="restart"/>
          </w:tcPr>
          <w:p w:rsidR="00104EC3" w:rsidRDefault="00104EC3" w:rsidP="00104EC3">
            <w:pPr>
              <w:rPr>
                <w:lang w:val="et-EE"/>
              </w:rPr>
            </w:pPr>
          </w:p>
        </w:tc>
        <w:tc>
          <w:tcPr>
            <w:tcW w:w="2326" w:type="dxa"/>
            <w:vMerge w:val="restart"/>
          </w:tcPr>
          <w:p w:rsidR="00104EC3" w:rsidRDefault="00104EC3" w:rsidP="00104EC3">
            <w:pPr>
              <w:rPr>
                <w:lang w:val="et-EE"/>
              </w:rPr>
            </w:pPr>
            <w:proofErr w:type="spellStart"/>
            <w:r>
              <w:rPr>
                <w:lang w:val="et-EE"/>
              </w:rPr>
              <w:t>Endoskoopiline</w:t>
            </w:r>
            <w:proofErr w:type="spellEnd"/>
            <w:r>
              <w:rPr>
                <w:lang w:val="et-EE"/>
              </w:rPr>
              <w:t xml:space="preserve"> või lahtine doonor-</w:t>
            </w:r>
            <w:proofErr w:type="spellStart"/>
            <w:r>
              <w:rPr>
                <w:lang w:val="et-EE"/>
              </w:rPr>
              <w:t>nefrektoomia</w:t>
            </w:r>
            <w:proofErr w:type="spellEnd"/>
          </w:p>
        </w:tc>
        <w:tc>
          <w:tcPr>
            <w:tcW w:w="2386" w:type="dxa"/>
            <w:shd w:val="clear" w:color="auto" w:fill="F7CAAC" w:themeFill="accent2" w:themeFillTint="66"/>
          </w:tcPr>
          <w:p w:rsidR="00104EC3" w:rsidRDefault="00104EC3" w:rsidP="00104EC3">
            <w:pPr>
              <w:rPr>
                <w:lang w:val="et-EE"/>
              </w:rPr>
            </w:pPr>
            <w:r w:rsidRPr="00104EC3">
              <w:rPr>
                <w:b/>
                <w:bCs/>
                <w:lang w:val="et-EE"/>
              </w:rPr>
              <w:t xml:space="preserve">Väike </w:t>
            </w:r>
            <w:r w:rsidRPr="00104EC3">
              <w:rPr>
                <w:b/>
                <w:bCs/>
                <w:lang w:val="et-EE"/>
              </w:rPr>
              <w:t>risk</w:t>
            </w:r>
            <w:r>
              <w:rPr>
                <w:lang w:val="et-EE"/>
              </w:rPr>
              <w:t xml:space="preserve"> – nõrk soovitus vastu</w:t>
            </w:r>
          </w:p>
        </w:tc>
        <w:tc>
          <w:tcPr>
            <w:tcW w:w="2544" w:type="dxa"/>
            <w:tcBorders>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nõrk soovitus vastu</w:t>
            </w:r>
          </w:p>
        </w:tc>
      </w:tr>
      <w:tr w:rsidR="00104EC3" w:rsidTr="00104EC3">
        <w:trPr>
          <w:trHeight w:val="269"/>
        </w:trPr>
        <w:tc>
          <w:tcPr>
            <w:tcW w:w="2095" w:type="dxa"/>
            <w:vMerge/>
          </w:tcPr>
          <w:p w:rsidR="00104EC3" w:rsidRDefault="00104EC3" w:rsidP="00104EC3">
            <w:pPr>
              <w:rPr>
                <w:lang w:val="et-EE"/>
              </w:rPr>
            </w:pPr>
          </w:p>
        </w:tc>
        <w:tc>
          <w:tcPr>
            <w:tcW w:w="2326" w:type="dxa"/>
            <w:vMerge/>
          </w:tcPr>
          <w:p w:rsidR="00104EC3" w:rsidRDefault="00104EC3" w:rsidP="00104EC3">
            <w:pPr>
              <w:rPr>
                <w:lang w:val="et-EE"/>
              </w:rPr>
            </w:pPr>
          </w:p>
        </w:tc>
        <w:tc>
          <w:tcPr>
            <w:tcW w:w="2386" w:type="dxa"/>
            <w:shd w:val="clear" w:color="auto" w:fill="F7CAAC" w:themeFill="accent2" w:themeFillTint="66"/>
          </w:tcPr>
          <w:p w:rsidR="00104EC3" w:rsidRDefault="00104EC3" w:rsidP="00104EC3">
            <w:pPr>
              <w:rPr>
                <w:lang w:val="et-EE"/>
              </w:rPr>
            </w:pPr>
            <w:r w:rsidRPr="00104EC3">
              <w:rPr>
                <w:b/>
                <w:bCs/>
                <w:lang w:val="et-EE"/>
              </w:rPr>
              <w:t>Ke</w:t>
            </w:r>
            <w:r w:rsidRPr="00104EC3">
              <w:rPr>
                <w:b/>
                <w:bCs/>
                <w:lang w:val="et-EE"/>
              </w:rPr>
              <w:t>skmine risk</w:t>
            </w:r>
            <w:r>
              <w:rPr>
                <w:lang w:val="et-EE"/>
              </w:rPr>
              <w:t xml:space="preserve"> – nõrk soovitus vastu</w:t>
            </w:r>
          </w:p>
        </w:tc>
        <w:tc>
          <w:tcPr>
            <w:tcW w:w="2544" w:type="dxa"/>
            <w:tcBorders>
              <w:top w:val="single" w:sz="8" w:space="0" w:color="000000"/>
              <w:bottom w:val="single" w:sz="8" w:space="0" w:color="000000"/>
            </w:tcBorders>
            <w:shd w:val="clear" w:color="auto" w:fill="C5E0B3" w:themeFill="accent6" w:themeFillTint="66"/>
          </w:tcPr>
          <w:p w:rsidR="00104EC3" w:rsidRDefault="00104EC3" w:rsidP="00104EC3">
            <w:pPr>
              <w:rPr>
                <w:lang w:val="et-EE"/>
              </w:rPr>
            </w:pPr>
            <w:r>
              <w:rPr>
                <w:b/>
                <w:bCs/>
                <w:lang w:val="et-EE"/>
              </w:rPr>
              <w:t>Keskmine risk</w:t>
            </w:r>
            <w:r>
              <w:rPr>
                <w:lang w:val="et-EE"/>
              </w:rPr>
              <w:t xml:space="preserve"> - nõrk soovitus poolt </w:t>
            </w:r>
          </w:p>
        </w:tc>
      </w:tr>
      <w:tr w:rsidR="00104EC3" w:rsidTr="00104EC3">
        <w:trPr>
          <w:trHeight w:val="269"/>
        </w:trPr>
        <w:tc>
          <w:tcPr>
            <w:tcW w:w="2095" w:type="dxa"/>
            <w:vMerge/>
            <w:tcBorders>
              <w:bottom w:val="single" w:sz="24" w:space="0" w:color="000000"/>
            </w:tcBorders>
          </w:tcPr>
          <w:p w:rsidR="00104EC3" w:rsidRDefault="00104EC3" w:rsidP="00104EC3">
            <w:pPr>
              <w:rPr>
                <w:lang w:val="et-EE"/>
              </w:rPr>
            </w:pPr>
          </w:p>
        </w:tc>
        <w:tc>
          <w:tcPr>
            <w:tcW w:w="2326" w:type="dxa"/>
            <w:vMerge/>
            <w:tcBorders>
              <w:bottom w:val="single" w:sz="24" w:space="0" w:color="000000"/>
            </w:tcBorders>
          </w:tcPr>
          <w:p w:rsidR="00104EC3" w:rsidRDefault="00104EC3" w:rsidP="00104EC3">
            <w:pPr>
              <w:rPr>
                <w:lang w:val="et-EE"/>
              </w:rPr>
            </w:pPr>
          </w:p>
        </w:tc>
        <w:tc>
          <w:tcPr>
            <w:tcW w:w="2386" w:type="dxa"/>
            <w:tcBorders>
              <w:bottom w:val="single" w:sz="24" w:space="0" w:color="000000"/>
            </w:tcBorders>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c>
          <w:tcPr>
            <w:tcW w:w="2544" w:type="dxa"/>
            <w:tcBorders>
              <w:top w:val="single" w:sz="8" w:space="0" w:color="000000"/>
              <w:bottom w:val="single" w:sz="24" w:space="0" w:color="000000"/>
            </w:tcBorders>
            <w:shd w:val="clear" w:color="auto" w:fill="C5E0B3" w:themeFill="accent6" w:themeFillTint="66"/>
          </w:tcPr>
          <w:p w:rsidR="00104EC3" w:rsidRDefault="00104EC3" w:rsidP="00104EC3">
            <w:pPr>
              <w:rPr>
                <w:lang w:val="et-EE"/>
              </w:rPr>
            </w:pPr>
            <w:r w:rsidRPr="00104EC3">
              <w:rPr>
                <w:b/>
                <w:bCs/>
                <w:lang w:val="et-EE"/>
              </w:rPr>
              <w:t>S</w:t>
            </w:r>
            <w:r w:rsidRPr="00104EC3">
              <w:rPr>
                <w:b/>
                <w:bCs/>
                <w:lang w:val="et-EE"/>
              </w:rPr>
              <w:t>uur risk</w:t>
            </w:r>
            <w:r>
              <w:rPr>
                <w:lang w:val="et-EE"/>
              </w:rPr>
              <w:t xml:space="preserve"> – nõrk soovitus poolt</w:t>
            </w:r>
          </w:p>
        </w:tc>
      </w:tr>
      <w:tr w:rsidR="00104EC3" w:rsidTr="00104EC3">
        <w:tc>
          <w:tcPr>
            <w:tcW w:w="4421" w:type="dxa"/>
            <w:gridSpan w:val="2"/>
            <w:tcBorders>
              <w:bottom w:val="single" w:sz="24" w:space="0" w:color="000000"/>
            </w:tcBorders>
          </w:tcPr>
          <w:p w:rsidR="00104EC3" w:rsidRDefault="00104EC3" w:rsidP="00104EC3">
            <w:pPr>
              <w:jc w:val="center"/>
              <w:rPr>
                <w:lang w:val="et-EE"/>
              </w:rPr>
            </w:pPr>
            <w:proofErr w:type="spellStart"/>
            <w:r>
              <w:rPr>
                <w:lang w:val="et-EE"/>
              </w:rPr>
              <w:t>Retroperitoneaalne</w:t>
            </w:r>
            <w:proofErr w:type="spellEnd"/>
            <w:r>
              <w:rPr>
                <w:lang w:val="et-EE"/>
              </w:rPr>
              <w:t xml:space="preserve"> LND</w:t>
            </w:r>
          </w:p>
        </w:tc>
        <w:tc>
          <w:tcPr>
            <w:tcW w:w="2386" w:type="dxa"/>
            <w:tcBorders>
              <w:top w:val="single" w:sz="24" w:space="0" w:color="000000"/>
              <w:bottom w:val="single" w:sz="24" w:space="0" w:color="000000"/>
            </w:tcBorders>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w:t>
            </w:r>
            <w:r>
              <w:rPr>
                <w:lang w:val="et-EE"/>
              </w:rPr>
              <w:t>poolt</w:t>
            </w:r>
          </w:p>
        </w:tc>
        <w:tc>
          <w:tcPr>
            <w:tcW w:w="2544" w:type="dxa"/>
            <w:tcBorders>
              <w:top w:val="single" w:sz="24" w:space="0" w:color="000000"/>
              <w:bottom w:val="single" w:sz="24" w:space="0" w:color="000000"/>
            </w:tcBorders>
            <w:shd w:val="clear" w:color="auto" w:fill="C5E0B3" w:themeFill="accent6" w:themeFillTint="66"/>
          </w:tcPr>
          <w:p w:rsidR="00104EC3" w:rsidRDefault="00104EC3" w:rsidP="00104EC3">
            <w:pPr>
              <w:rPr>
                <w:lang w:val="et-EE"/>
              </w:rPr>
            </w:pPr>
            <w:r w:rsidRPr="007A72D9">
              <w:rPr>
                <w:b/>
                <w:bCs/>
                <w:lang w:val="et-EE"/>
              </w:rPr>
              <w:t>Kõik riskirühmad</w:t>
            </w:r>
            <w:r>
              <w:rPr>
                <w:lang w:val="et-EE"/>
              </w:rPr>
              <w:t xml:space="preserve"> - nõrk soovitus poolt </w:t>
            </w:r>
          </w:p>
        </w:tc>
      </w:tr>
      <w:tr w:rsidR="00104EC3" w:rsidTr="00104EC3">
        <w:trPr>
          <w:trHeight w:val="271"/>
        </w:trPr>
        <w:tc>
          <w:tcPr>
            <w:tcW w:w="4421" w:type="dxa"/>
            <w:gridSpan w:val="2"/>
            <w:vMerge w:val="restart"/>
            <w:tcBorders>
              <w:top w:val="single" w:sz="24" w:space="0" w:color="000000"/>
            </w:tcBorders>
          </w:tcPr>
          <w:p w:rsidR="00104EC3" w:rsidRDefault="00104EC3" w:rsidP="00104EC3">
            <w:pPr>
              <w:jc w:val="center"/>
              <w:rPr>
                <w:lang w:val="et-EE"/>
              </w:rPr>
            </w:pPr>
            <w:r>
              <w:rPr>
                <w:lang w:val="et-EE"/>
              </w:rPr>
              <w:lastRenderedPageBreak/>
              <w:t>TURP</w:t>
            </w:r>
          </w:p>
        </w:tc>
        <w:tc>
          <w:tcPr>
            <w:tcW w:w="2386" w:type="dxa"/>
            <w:vMerge w:val="restart"/>
            <w:tcBorders>
              <w:top w:val="single" w:sz="24" w:space="0" w:color="000000"/>
            </w:tcBorders>
            <w:shd w:val="clear" w:color="auto" w:fill="F7CAAC" w:themeFill="accent2" w:themeFillTint="66"/>
          </w:tcPr>
          <w:p w:rsidR="00104EC3" w:rsidRPr="00104EC3" w:rsidRDefault="00104EC3" w:rsidP="00104EC3">
            <w:pPr>
              <w:rPr>
                <w:b/>
                <w:bCs/>
                <w:lang w:val="et-EE"/>
              </w:rPr>
            </w:pPr>
            <w:r w:rsidRPr="007A72D9">
              <w:rPr>
                <w:b/>
                <w:bCs/>
                <w:lang w:val="et-EE"/>
              </w:rPr>
              <w:t>Kõik riskirühmad</w:t>
            </w:r>
            <w:r>
              <w:rPr>
                <w:lang w:val="et-EE"/>
              </w:rPr>
              <w:t xml:space="preserve"> - nõrk soovitus vastu</w:t>
            </w:r>
          </w:p>
        </w:tc>
        <w:tc>
          <w:tcPr>
            <w:tcW w:w="2544" w:type="dxa"/>
            <w:tcBorders>
              <w:top w:val="single" w:sz="24"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nõrk soovitus vastu</w:t>
            </w:r>
          </w:p>
          <w:p w:rsidR="00104EC3" w:rsidRDefault="00104EC3" w:rsidP="00104EC3">
            <w:pPr>
              <w:rPr>
                <w:lang w:val="et-EE"/>
              </w:rPr>
            </w:pPr>
          </w:p>
        </w:tc>
      </w:tr>
      <w:tr w:rsidR="00104EC3" w:rsidTr="00104EC3">
        <w:trPr>
          <w:trHeight w:val="269"/>
        </w:trPr>
        <w:tc>
          <w:tcPr>
            <w:tcW w:w="4421" w:type="dxa"/>
            <w:gridSpan w:val="2"/>
            <w:vMerge/>
          </w:tcPr>
          <w:p w:rsidR="00104EC3" w:rsidRDefault="00104EC3" w:rsidP="00104EC3">
            <w:pPr>
              <w:jc w:val="center"/>
              <w:rPr>
                <w:lang w:val="et-EE"/>
              </w:rPr>
            </w:pPr>
          </w:p>
        </w:tc>
        <w:tc>
          <w:tcPr>
            <w:tcW w:w="2386" w:type="dxa"/>
            <w:vMerge/>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keskmine risk</w:t>
            </w:r>
            <w:r>
              <w:rPr>
                <w:lang w:val="et-EE"/>
              </w:rPr>
              <w:t xml:space="preserve"> – nõrk soovitus vastu</w:t>
            </w:r>
          </w:p>
        </w:tc>
      </w:tr>
      <w:tr w:rsidR="00104EC3" w:rsidTr="00104EC3">
        <w:trPr>
          <w:trHeight w:val="269"/>
        </w:trPr>
        <w:tc>
          <w:tcPr>
            <w:tcW w:w="4421" w:type="dxa"/>
            <w:gridSpan w:val="2"/>
            <w:vMerge/>
            <w:tcBorders>
              <w:bottom w:val="single" w:sz="24" w:space="0" w:color="000000"/>
            </w:tcBorders>
          </w:tcPr>
          <w:p w:rsidR="00104EC3" w:rsidRDefault="00104EC3" w:rsidP="00104EC3">
            <w:pPr>
              <w:jc w:val="center"/>
              <w:rPr>
                <w:lang w:val="et-EE"/>
              </w:rPr>
            </w:pPr>
          </w:p>
        </w:tc>
        <w:tc>
          <w:tcPr>
            <w:tcW w:w="2386" w:type="dxa"/>
            <w:vMerge/>
            <w:tcBorders>
              <w:bottom w:val="single" w:sz="24" w:space="0" w:color="000000"/>
            </w:tcBorders>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24" w:space="0" w:color="000000"/>
            </w:tcBorders>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r>
      <w:tr w:rsidR="00104EC3" w:rsidTr="00104EC3">
        <w:trPr>
          <w:trHeight w:val="271"/>
        </w:trPr>
        <w:tc>
          <w:tcPr>
            <w:tcW w:w="4421" w:type="dxa"/>
            <w:gridSpan w:val="2"/>
            <w:vMerge w:val="restart"/>
            <w:tcBorders>
              <w:top w:val="single" w:sz="24" w:space="0" w:color="000000"/>
            </w:tcBorders>
          </w:tcPr>
          <w:p w:rsidR="00104EC3" w:rsidRDefault="00104EC3" w:rsidP="00104EC3">
            <w:pPr>
              <w:jc w:val="center"/>
              <w:rPr>
                <w:lang w:val="et-EE"/>
              </w:rPr>
            </w:pPr>
            <w:r>
              <w:rPr>
                <w:lang w:val="et-EE"/>
              </w:rPr>
              <w:t>PCNL</w:t>
            </w:r>
          </w:p>
        </w:tc>
        <w:tc>
          <w:tcPr>
            <w:tcW w:w="2386" w:type="dxa"/>
            <w:vMerge w:val="restart"/>
            <w:tcBorders>
              <w:top w:val="single" w:sz="24" w:space="0" w:color="000000"/>
            </w:tcBorders>
            <w:shd w:val="clear" w:color="auto" w:fill="F7CAAC" w:themeFill="accent2" w:themeFillTint="66"/>
          </w:tcPr>
          <w:p w:rsidR="00104EC3" w:rsidRDefault="00104EC3" w:rsidP="00104EC3">
            <w:pPr>
              <w:rPr>
                <w:lang w:val="et-EE"/>
              </w:rPr>
            </w:pPr>
            <w:r w:rsidRPr="007A72D9">
              <w:rPr>
                <w:b/>
                <w:bCs/>
                <w:lang w:val="et-EE"/>
              </w:rPr>
              <w:t>Kõik riskirühmad</w:t>
            </w:r>
            <w:r>
              <w:rPr>
                <w:lang w:val="et-EE"/>
              </w:rPr>
              <w:t xml:space="preserve"> - nõrk soovitus vastu</w:t>
            </w:r>
          </w:p>
        </w:tc>
        <w:tc>
          <w:tcPr>
            <w:tcW w:w="2544" w:type="dxa"/>
            <w:tcBorders>
              <w:top w:val="single" w:sz="24"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w:t>
            </w:r>
            <w:r>
              <w:rPr>
                <w:lang w:val="et-EE"/>
              </w:rPr>
              <w:t>nõrk soovitus vastu</w:t>
            </w:r>
          </w:p>
        </w:tc>
      </w:tr>
      <w:tr w:rsidR="00104EC3" w:rsidTr="00104EC3">
        <w:trPr>
          <w:trHeight w:val="269"/>
        </w:trPr>
        <w:tc>
          <w:tcPr>
            <w:tcW w:w="4421" w:type="dxa"/>
            <w:gridSpan w:val="2"/>
            <w:vMerge/>
          </w:tcPr>
          <w:p w:rsidR="00104EC3" w:rsidRDefault="00104EC3" w:rsidP="00104EC3">
            <w:pPr>
              <w:jc w:val="center"/>
              <w:rPr>
                <w:lang w:val="et-EE"/>
              </w:rPr>
            </w:pPr>
          </w:p>
        </w:tc>
        <w:tc>
          <w:tcPr>
            <w:tcW w:w="2386" w:type="dxa"/>
            <w:vMerge/>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Kes</w:t>
            </w:r>
            <w:r w:rsidRPr="00104EC3">
              <w:rPr>
                <w:b/>
                <w:bCs/>
                <w:lang w:val="et-EE"/>
              </w:rPr>
              <w:t>kmine risk</w:t>
            </w:r>
            <w:r>
              <w:rPr>
                <w:lang w:val="et-EE"/>
              </w:rPr>
              <w:t xml:space="preserve"> – nõrk soovitus vastu</w:t>
            </w:r>
          </w:p>
        </w:tc>
      </w:tr>
      <w:tr w:rsidR="00104EC3" w:rsidTr="00104EC3">
        <w:trPr>
          <w:trHeight w:val="269"/>
        </w:trPr>
        <w:tc>
          <w:tcPr>
            <w:tcW w:w="4421" w:type="dxa"/>
            <w:gridSpan w:val="2"/>
            <w:vMerge/>
            <w:tcBorders>
              <w:bottom w:val="single" w:sz="24" w:space="0" w:color="000000"/>
            </w:tcBorders>
          </w:tcPr>
          <w:p w:rsidR="00104EC3" w:rsidRDefault="00104EC3" w:rsidP="00104EC3">
            <w:pPr>
              <w:jc w:val="center"/>
              <w:rPr>
                <w:lang w:val="et-EE"/>
              </w:rPr>
            </w:pPr>
          </w:p>
        </w:tc>
        <w:tc>
          <w:tcPr>
            <w:tcW w:w="2386" w:type="dxa"/>
            <w:vMerge/>
            <w:tcBorders>
              <w:bottom w:val="single" w:sz="24" w:space="0" w:color="000000"/>
            </w:tcBorders>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24" w:space="0" w:color="000000"/>
            </w:tcBorders>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r>
      <w:tr w:rsidR="00104EC3" w:rsidTr="00104EC3">
        <w:trPr>
          <w:trHeight w:val="271"/>
        </w:trPr>
        <w:tc>
          <w:tcPr>
            <w:tcW w:w="4421" w:type="dxa"/>
            <w:gridSpan w:val="2"/>
            <w:vMerge w:val="restart"/>
            <w:tcBorders>
              <w:top w:val="single" w:sz="24" w:space="0" w:color="000000"/>
            </w:tcBorders>
          </w:tcPr>
          <w:p w:rsidR="00104EC3" w:rsidRDefault="00104EC3" w:rsidP="00104EC3">
            <w:pPr>
              <w:jc w:val="center"/>
              <w:rPr>
                <w:lang w:val="et-EE"/>
              </w:rPr>
            </w:pPr>
            <w:r>
              <w:rPr>
                <w:lang w:val="et-EE"/>
              </w:rPr>
              <w:t>TVT/TOT</w:t>
            </w:r>
          </w:p>
        </w:tc>
        <w:tc>
          <w:tcPr>
            <w:tcW w:w="2386" w:type="dxa"/>
            <w:vMerge w:val="restart"/>
            <w:tcBorders>
              <w:top w:val="single" w:sz="24" w:space="0" w:color="000000"/>
            </w:tcBorders>
            <w:shd w:val="clear" w:color="auto" w:fill="F7CAAC" w:themeFill="accent2" w:themeFillTint="66"/>
          </w:tcPr>
          <w:p w:rsidR="00104EC3" w:rsidRDefault="00104EC3" w:rsidP="00104EC3">
            <w:pPr>
              <w:rPr>
                <w:lang w:val="et-EE"/>
              </w:rPr>
            </w:pPr>
            <w:r w:rsidRPr="007A72D9">
              <w:rPr>
                <w:b/>
                <w:bCs/>
                <w:lang w:val="et-EE"/>
              </w:rPr>
              <w:t>Kõik riskirühmad</w:t>
            </w:r>
            <w:r>
              <w:rPr>
                <w:lang w:val="et-EE"/>
              </w:rPr>
              <w:t xml:space="preserve"> - nõrk soovitus </w:t>
            </w:r>
            <w:r>
              <w:rPr>
                <w:lang w:val="et-EE"/>
              </w:rPr>
              <w:t>vastu</w:t>
            </w:r>
          </w:p>
        </w:tc>
        <w:tc>
          <w:tcPr>
            <w:tcW w:w="2544" w:type="dxa"/>
            <w:tcBorders>
              <w:top w:val="single" w:sz="24"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Väike risk</w:t>
            </w:r>
            <w:r>
              <w:rPr>
                <w:lang w:val="et-EE"/>
              </w:rPr>
              <w:t xml:space="preserve"> – nõrk soovitus vastu</w:t>
            </w:r>
          </w:p>
          <w:p w:rsidR="00104EC3" w:rsidRDefault="00104EC3" w:rsidP="00104EC3">
            <w:pPr>
              <w:rPr>
                <w:lang w:val="et-EE"/>
              </w:rPr>
            </w:pPr>
          </w:p>
        </w:tc>
      </w:tr>
      <w:tr w:rsidR="00104EC3" w:rsidTr="00104EC3">
        <w:trPr>
          <w:trHeight w:val="269"/>
        </w:trPr>
        <w:tc>
          <w:tcPr>
            <w:tcW w:w="4421" w:type="dxa"/>
            <w:gridSpan w:val="2"/>
            <w:vMerge/>
          </w:tcPr>
          <w:p w:rsidR="00104EC3" w:rsidRDefault="00104EC3" w:rsidP="00104EC3">
            <w:pPr>
              <w:jc w:val="center"/>
              <w:rPr>
                <w:lang w:val="et-EE"/>
              </w:rPr>
            </w:pPr>
          </w:p>
        </w:tc>
        <w:tc>
          <w:tcPr>
            <w:tcW w:w="2386" w:type="dxa"/>
            <w:vMerge/>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8" w:space="0" w:color="000000"/>
            </w:tcBorders>
            <w:shd w:val="clear" w:color="auto" w:fill="F7CAAC" w:themeFill="accent2" w:themeFillTint="66"/>
          </w:tcPr>
          <w:p w:rsidR="00104EC3" w:rsidRDefault="00104EC3" w:rsidP="00104EC3">
            <w:pPr>
              <w:rPr>
                <w:lang w:val="et-EE"/>
              </w:rPr>
            </w:pPr>
            <w:r w:rsidRPr="00104EC3">
              <w:rPr>
                <w:b/>
                <w:bCs/>
                <w:lang w:val="et-EE"/>
              </w:rPr>
              <w:t>K</w:t>
            </w:r>
            <w:r w:rsidRPr="00104EC3">
              <w:rPr>
                <w:b/>
                <w:bCs/>
                <w:lang w:val="et-EE"/>
              </w:rPr>
              <w:t>eskmine risk</w:t>
            </w:r>
            <w:r>
              <w:rPr>
                <w:lang w:val="et-EE"/>
              </w:rPr>
              <w:t xml:space="preserve"> – nõrk soovitus vastu</w:t>
            </w:r>
          </w:p>
        </w:tc>
      </w:tr>
      <w:tr w:rsidR="00104EC3" w:rsidTr="00104EC3">
        <w:trPr>
          <w:trHeight w:val="269"/>
        </w:trPr>
        <w:tc>
          <w:tcPr>
            <w:tcW w:w="4421" w:type="dxa"/>
            <w:gridSpan w:val="2"/>
            <w:vMerge/>
          </w:tcPr>
          <w:p w:rsidR="00104EC3" w:rsidRDefault="00104EC3" w:rsidP="00104EC3">
            <w:pPr>
              <w:jc w:val="center"/>
              <w:rPr>
                <w:lang w:val="et-EE"/>
              </w:rPr>
            </w:pPr>
          </w:p>
        </w:tc>
        <w:tc>
          <w:tcPr>
            <w:tcW w:w="2386" w:type="dxa"/>
            <w:vMerge/>
            <w:shd w:val="clear" w:color="auto" w:fill="F7CAAC" w:themeFill="accent2" w:themeFillTint="66"/>
          </w:tcPr>
          <w:p w:rsidR="00104EC3" w:rsidRDefault="00104EC3" w:rsidP="00104EC3">
            <w:pPr>
              <w:rPr>
                <w:lang w:val="et-EE"/>
              </w:rPr>
            </w:pPr>
          </w:p>
        </w:tc>
        <w:tc>
          <w:tcPr>
            <w:tcW w:w="2544" w:type="dxa"/>
            <w:tcBorders>
              <w:top w:val="single" w:sz="8" w:space="0" w:color="000000"/>
              <w:bottom w:val="single" w:sz="8" w:space="0" w:color="000000"/>
            </w:tcBorders>
            <w:shd w:val="clear" w:color="auto" w:fill="C5E0B3" w:themeFill="accent6" w:themeFillTint="66"/>
          </w:tcPr>
          <w:p w:rsidR="00104EC3" w:rsidRDefault="00104EC3" w:rsidP="00104EC3">
            <w:pPr>
              <w:rPr>
                <w:lang w:val="et-EE"/>
              </w:rPr>
            </w:pPr>
            <w:r w:rsidRPr="00104EC3">
              <w:rPr>
                <w:b/>
                <w:bCs/>
                <w:lang w:val="et-EE"/>
              </w:rPr>
              <w:t>Suur risk</w:t>
            </w:r>
            <w:r>
              <w:rPr>
                <w:lang w:val="et-EE"/>
              </w:rPr>
              <w:t xml:space="preserve"> – nõrk soovitus poolt</w:t>
            </w:r>
          </w:p>
        </w:tc>
      </w:tr>
    </w:tbl>
    <w:p w:rsidR="005B220B" w:rsidRDefault="005B220B" w:rsidP="00374D0D">
      <w:pPr>
        <w:rPr>
          <w:lang w:val="et-EE"/>
        </w:rPr>
      </w:pPr>
    </w:p>
    <w:p w:rsidR="00335A74" w:rsidRDefault="00104EC3" w:rsidP="00374D0D">
      <w:pPr>
        <w:rPr>
          <w:lang w:val="et-EE"/>
        </w:rPr>
      </w:pPr>
      <w:r>
        <w:rPr>
          <w:lang w:val="et-EE"/>
        </w:rPr>
        <w:t>*</w:t>
      </w:r>
      <w:proofErr w:type="spellStart"/>
      <w:r w:rsidR="00335A74">
        <w:rPr>
          <w:lang w:val="et-EE"/>
        </w:rPr>
        <w:t>sPLND</w:t>
      </w:r>
      <w:proofErr w:type="spellEnd"/>
      <w:r w:rsidR="00335A74">
        <w:rPr>
          <w:lang w:val="et-EE"/>
        </w:rPr>
        <w:t xml:space="preserve"> - </w:t>
      </w:r>
      <w:proofErr w:type="spellStart"/>
      <w:r w:rsidR="00335A74">
        <w:rPr>
          <w:rFonts w:ascii="Roboto" w:hAnsi="Roboto"/>
          <w:color w:val="152443"/>
          <w:shd w:val="clear" w:color="auto" w:fill="FFFFFF"/>
          <w:lang w:val="et-EE"/>
        </w:rPr>
        <w:t>the</w:t>
      </w:r>
      <w:proofErr w:type="spellEnd"/>
      <w:r w:rsidR="00335A74">
        <w:rPr>
          <w:rFonts w:ascii="Roboto" w:hAnsi="Roboto"/>
          <w:color w:val="152443"/>
          <w:shd w:val="clear" w:color="auto" w:fill="FFFFFF"/>
        </w:rPr>
        <w:t xml:space="preserve"> nodes overlying the external iliac artery and vein, the nodes within the obturator fossa located cranially and caudally to the obturator nerve</w:t>
      </w:r>
    </w:p>
    <w:p w:rsidR="00335A74" w:rsidRDefault="00104EC3" w:rsidP="00374D0D">
      <w:pPr>
        <w:rPr>
          <w:rFonts w:ascii="Roboto" w:hAnsi="Roboto"/>
          <w:color w:val="152443"/>
          <w:shd w:val="clear" w:color="auto" w:fill="FFFFFF"/>
        </w:rPr>
      </w:pPr>
      <w:r>
        <w:rPr>
          <w:rFonts w:ascii="Roboto" w:hAnsi="Roboto"/>
          <w:color w:val="152443"/>
          <w:shd w:val="clear" w:color="auto" w:fill="FFFFFF"/>
          <w:lang w:val="et-EE"/>
        </w:rPr>
        <w:t>**</w:t>
      </w:r>
      <w:r w:rsidR="00335A74">
        <w:rPr>
          <w:rFonts w:ascii="Roboto" w:hAnsi="Roboto"/>
          <w:color w:val="152443"/>
          <w:shd w:val="clear" w:color="auto" w:fill="FFFFFF"/>
          <w:lang w:val="et-EE"/>
        </w:rPr>
        <w:t>e</w:t>
      </w:r>
      <w:r w:rsidR="00335A74">
        <w:rPr>
          <w:rFonts w:ascii="Roboto" w:hAnsi="Roboto"/>
          <w:color w:val="152443"/>
          <w:shd w:val="clear" w:color="auto" w:fill="FFFFFF"/>
        </w:rPr>
        <w:t xml:space="preserve">PLND </w:t>
      </w:r>
      <w:r w:rsidR="00335A74">
        <w:rPr>
          <w:rFonts w:ascii="Roboto" w:hAnsi="Roboto"/>
          <w:color w:val="152443"/>
          <w:shd w:val="clear" w:color="auto" w:fill="FFFFFF"/>
          <w:lang w:val="et-EE"/>
        </w:rPr>
        <w:t xml:space="preserve">- </w:t>
      </w:r>
      <w:proofErr w:type="spellStart"/>
      <w:r w:rsidR="00335A74">
        <w:rPr>
          <w:rFonts w:ascii="Roboto" w:hAnsi="Roboto"/>
          <w:color w:val="152443"/>
          <w:shd w:val="clear" w:color="auto" w:fill="FFFFFF"/>
          <w:lang w:val="et-EE"/>
        </w:rPr>
        <w:t>the</w:t>
      </w:r>
      <w:proofErr w:type="spellEnd"/>
      <w:r w:rsidR="00335A74">
        <w:rPr>
          <w:rFonts w:ascii="Roboto" w:hAnsi="Roboto"/>
          <w:color w:val="152443"/>
          <w:shd w:val="clear" w:color="auto" w:fill="FFFFFF"/>
        </w:rPr>
        <w:t xml:space="preserve"> nodes overlying the external iliac artery and vein, the nodes within the obturator fossa located cranially and caudally to the obturator nerve, and the nodes medial and lateral to the internal iliac artery</w:t>
      </w:r>
    </w:p>
    <w:p w:rsidR="0026187D" w:rsidRDefault="0026187D" w:rsidP="00374D0D">
      <w:pPr>
        <w:rPr>
          <w:rFonts w:ascii="Roboto" w:hAnsi="Roboto"/>
          <w:color w:val="152443"/>
          <w:shd w:val="clear" w:color="auto" w:fill="FFFFFF"/>
        </w:rPr>
      </w:pPr>
    </w:p>
    <w:p w:rsidR="001C4399" w:rsidRPr="00AC6EF6" w:rsidRDefault="001C4399" w:rsidP="00AC6EF6">
      <w:pPr>
        <w:rPr>
          <w:lang w:val="et-EE"/>
        </w:rPr>
      </w:pPr>
    </w:p>
    <w:sectPr w:rsidR="001C4399" w:rsidRPr="00AC6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27C"/>
    <w:multiLevelType w:val="hybridMultilevel"/>
    <w:tmpl w:val="2086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06006"/>
    <w:multiLevelType w:val="hybridMultilevel"/>
    <w:tmpl w:val="5874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557C8"/>
    <w:multiLevelType w:val="hybridMultilevel"/>
    <w:tmpl w:val="B5E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D4727"/>
    <w:multiLevelType w:val="hybridMultilevel"/>
    <w:tmpl w:val="EA404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230791">
    <w:abstractNumId w:val="0"/>
  </w:num>
  <w:num w:numId="2" w16cid:durableId="452944011">
    <w:abstractNumId w:val="3"/>
  </w:num>
  <w:num w:numId="3" w16cid:durableId="1660958038">
    <w:abstractNumId w:val="2"/>
  </w:num>
  <w:num w:numId="4" w16cid:durableId="85041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3E"/>
    <w:rsid w:val="000128F2"/>
    <w:rsid w:val="000A6F3D"/>
    <w:rsid w:val="00104EC3"/>
    <w:rsid w:val="001479B6"/>
    <w:rsid w:val="00183387"/>
    <w:rsid w:val="001C4399"/>
    <w:rsid w:val="002329B1"/>
    <w:rsid w:val="0026187D"/>
    <w:rsid w:val="00263797"/>
    <w:rsid w:val="002C3252"/>
    <w:rsid w:val="002D1528"/>
    <w:rsid w:val="00335A74"/>
    <w:rsid w:val="00374D0D"/>
    <w:rsid w:val="003B365D"/>
    <w:rsid w:val="00465DE3"/>
    <w:rsid w:val="00484FD3"/>
    <w:rsid w:val="004D656B"/>
    <w:rsid w:val="00561D44"/>
    <w:rsid w:val="005B220B"/>
    <w:rsid w:val="005D77A9"/>
    <w:rsid w:val="00665DE7"/>
    <w:rsid w:val="006B787B"/>
    <w:rsid w:val="006E082D"/>
    <w:rsid w:val="00727958"/>
    <w:rsid w:val="007A72D9"/>
    <w:rsid w:val="007C101C"/>
    <w:rsid w:val="00831942"/>
    <w:rsid w:val="008A4A02"/>
    <w:rsid w:val="008C712B"/>
    <w:rsid w:val="0090341A"/>
    <w:rsid w:val="009563C2"/>
    <w:rsid w:val="009A2338"/>
    <w:rsid w:val="009E788E"/>
    <w:rsid w:val="00AC6EF6"/>
    <w:rsid w:val="00AF6869"/>
    <w:rsid w:val="00BE1675"/>
    <w:rsid w:val="00BF7C2F"/>
    <w:rsid w:val="00C950DC"/>
    <w:rsid w:val="00D02C3E"/>
    <w:rsid w:val="00D67252"/>
    <w:rsid w:val="00D75F76"/>
    <w:rsid w:val="00D875E7"/>
    <w:rsid w:val="00DF5F0E"/>
    <w:rsid w:val="00E35196"/>
    <w:rsid w:val="00EB01C8"/>
    <w:rsid w:val="00EB5DFC"/>
    <w:rsid w:val="00F12FCE"/>
    <w:rsid w:val="00FC217B"/>
    <w:rsid w:val="00FD0B8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B029"/>
  <w15:chartTrackingRefBased/>
  <w15:docId w15:val="{766592C5-F5B1-484F-8DB3-8326C0FD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D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D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D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61D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2D"/>
    <w:pPr>
      <w:ind w:left="720"/>
      <w:contextualSpacing/>
    </w:pPr>
  </w:style>
  <w:style w:type="character" w:customStyle="1" w:styleId="Heading2Char">
    <w:name w:val="Heading 2 Char"/>
    <w:basedOn w:val="DefaultParagraphFont"/>
    <w:link w:val="Heading2"/>
    <w:uiPriority w:val="9"/>
    <w:rsid w:val="00374D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4D0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374D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E167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4Char">
    <w:name w:val="Heading 4 Char"/>
    <w:basedOn w:val="DefaultParagraphFont"/>
    <w:link w:val="Heading4"/>
    <w:uiPriority w:val="9"/>
    <w:rsid w:val="00561D4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B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5A74"/>
  </w:style>
  <w:style w:type="character" w:styleId="Hyperlink">
    <w:name w:val="Hyperlink"/>
    <w:basedOn w:val="DefaultParagraphFont"/>
    <w:uiPriority w:val="99"/>
    <w:unhideWhenUsed/>
    <w:rsid w:val="00484FD3"/>
    <w:rPr>
      <w:color w:val="0563C1" w:themeColor="hyperlink"/>
      <w:u w:val="single"/>
    </w:rPr>
  </w:style>
  <w:style w:type="character" w:styleId="UnresolvedMention">
    <w:name w:val="Unresolved Mention"/>
    <w:basedOn w:val="DefaultParagraphFont"/>
    <w:uiPriority w:val="99"/>
    <w:semiHidden/>
    <w:unhideWhenUsed/>
    <w:rsid w:val="00484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277">
      <w:bodyDiv w:val="1"/>
      <w:marLeft w:val="0"/>
      <w:marRight w:val="0"/>
      <w:marTop w:val="0"/>
      <w:marBottom w:val="0"/>
      <w:divBdr>
        <w:top w:val="none" w:sz="0" w:space="0" w:color="auto"/>
        <w:left w:val="none" w:sz="0" w:space="0" w:color="auto"/>
        <w:bottom w:val="none" w:sz="0" w:space="0" w:color="auto"/>
        <w:right w:val="none" w:sz="0" w:space="0" w:color="auto"/>
      </w:divBdr>
      <w:divsChild>
        <w:div w:id="1857846528">
          <w:marLeft w:val="0"/>
          <w:marRight w:val="0"/>
          <w:marTop w:val="0"/>
          <w:marBottom w:val="0"/>
          <w:divBdr>
            <w:top w:val="none" w:sz="0" w:space="0" w:color="auto"/>
            <w:left w:val="none" w:sz="0" w:space="0" w:color="auto"/>
            <w:bottom w:val="none" w:sz="0" w:space="0" w:color="auto"/>
            <w:right w:val="none" w:sz="0" w:space="0" w:color="auto"/>
          </w:divBdr>
          <w:divsChild>
            <w:div w:id="630087673">
              <w:marLeft w:val="0"/>
              <w:marRight w:val="0"/>
              <w:marTop w:val="0"/>
              <w:marBottom w:val="0"/>
              <w:divBdr>
                <w:top w:val="none" w:sz="0" w:space="0" w:color="auto"/>
                <w:left w:val="none" w:sz="0" w:space="0" w:color="auto"/>
                <w:bottom w:val="none" w:sz="0" w:space="0" w:color="auto"/>
                <w:right w:val="none" w:sz="0" w:space="0" w:color="auto"/>
              </w:divBdr>
              <w:divsChild>
                <w:div w:id="20898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931">
      <w:bodyDiv w:val="1"/>
      <w:marLeft w:val="0"/>
      <w:marRight w:val="0"/>
      <w:marTop w:val="0"/>
      <w:marBottom w:val="0"/>
      <w:divBdr>
        <w:top w:val="none" w:sz="0" w:space="0" w:color="auto"/>
        <w:left w:val="none" w:sz="0" w:space="0" w:color="auto"/>
        <w:bottom w:val="none" w:sz="0" w:space="0" w:color="auto"/>
        <w:right w:val="none" w:sz="0" w:space="0" w:color="auto"/>
      </w:divBdr>
      <w:divsChild>
        <w:div w:id="1159348642">
          <w:marLeft w:val="0"/>
          <w:marRight w:val="0"/>
          <w:marTop w:val="0"/>
          <w:marBottom w:val="0"/>
          <w:divBdr>
            <w:top w:val="none" w:sz="0" w:space="0" w:color="auto"/>
            <w:left w:val="none" w:sz="0" w:space="0" w:color="auto"/>
            <w:bottom w:val="none" w:sz="0" w:space="0" w:color="auto"/>
            <w:right w:val="none" w:sz="0" w:space="0" w:color="auto"/>
          </w:divBdr>
          <w:divsChild>
            <w:div w:id="1227181290">
              <w:marLeft w:val="0"/>
              <w:marRight w:val="0"/>
              <w:marTop w:val="0"/>
              <w:marBottom w:val="0"/>
              <w:divBdr>
                <w:top w:val="none" w:sz="0" w:space="0" w:color="auto"/>
                <w:left w:val="none" w:sz="0" w:space="0" w:color="auto"/>
                <w:bottom w:val="none" w:sz="0" w:space="0" w:color="auto"/>
                <w:right w:val="none" w:sz="0" w:space="0" w:color="auto"/>
              </w:divBdr>
              <w:divsChild>
                <w:div w:id="2053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905">
      <w:bodyDiv w:val="1"/>
      <w:marLeft w:val="0"/>
      <w:marRight w:val="0"/>
      <w:marTop w:val="0"/>
      <w:marBottom w:val="0"/>
      <w:divBdr>
        <w:top w:val="none" w:sz="0" w:space="0" w:color="auto"/>
        <w:left w:val="none" w:sz="0" w:space="0" w:color="auto"/>
        <w:bottom w:val="none" w:sz="0" w:space="0" w:color="auto"/>
        <w:right w:val="none" w:sz="0" w:space="0" w:color="auto"/>
      </w:divBdr>
      <w:divsChild>
        <w:div w:id="654602799">
          <w:marLeft w:val="0"/>
          <w:marRight w:val="0"/>
          <w:marTop w:val="0"/>
          <w:marBottom w:val="0"/>
          <w:divBdr>
            <w:top w:val="none" w:sz="0" w:space="0" w:color="auto"/>
            <w:left w:val="none" w:sz="0" w:space="0" w:color="auto"/>
            <w:bottom w:val="none" w:sz="0" w:space="0" w:color="auto"/>
            <w:right w:val="none" w:sz="0" w:space="0" w:color="auto"/>
          </w:divBdr>
          <w:divsChild>
            <w:div w:id="389035563">
              <w:marLeft w:val="0"/>
              <w:marRight w:val="0"/>
              <w:marTop w:val="0"/>
              <w:marBottom w:val="0"/>
              <w:divBdr>
                <w:top w:val="none" w:sz="0" w:space="0" w:color="auto"/>
                <w:left w:val="none" w:sz="0" w:space="0" w:color="auto"/>
                <w:bottom w:val="none" w:sz="0" w:space="0" w:color="auto"/>
                <w:right w:val="none" w:sz="0" w:space="0" w:color="auto"/>
              </w:divBdr>
              <w:divsChild>
                <w:div w:id="2352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318">
      <w:bodyDiv w:val="1"/>
      <w:marLeft w:val="0"/>
      <w:marRight w:val="0"/>
      <w:marTop w:val="0"/>
      <w:marBottom w:val="0"/>
      <w:divBdr>
        <w:top w:val="none" w:sz="0" w:space="0" w:color="auto"/>
        <w:left w:val="none" w:sz="0" w:space="0" w:color="auto"/>
        <w:bottom w:val="none" w:sz="0" w:space="0" w:color="auto"/>
        <w:right w:val="none" w:sz="0" w:space="0" w:color="auto"/>
      </w:divBdr>
      <w:divsChild>
        <w:div w:id="243950550">
          <w:marLeft w:val="0"/>
          <w:marRight w:val="0"/>
          <w:marTop w:val="0"/>
          <w:marBottom w:val="0"/>
          <w:divBdr>
            <w:top w:val="none" w:sz="0" w:space="0" w:color="auto"/>
            <w:left w:val="none" w:sz="0" w:space="0" w:color="auto"/>
            <w:bottom w:val="none" w:sz="0" w:space="0" w:color="auto"/>
            <w:right w:val="none" w:sz="0" w:space="0" w:color="auto"/>
          </w:divBdr>
          <w:divsChild>
            <w:div w:id="617683957">
              <w:marLeft w:val="0"/>
              <w:marRight w:val="0"/>
              <w:marTop w:val="0"/>
              <w:marBottom w:val="0"/>
              <w:divBdr>
                <w:top w:val="none" w:sz="0" w:space="0" w:color="auto"/>
                <w:left w:val="none" w:sz="0" w:space="0" w:color="auto"/>
                <w:bottom w:val="none" w:sz="0" w:space="0" w:color="auto"/>
                <w:right w:val="none" w:sz="0" w:space="0" w:color="auto"/>
              </w:divBdr>
              <w:divsChild>
                <w:div w:id="19997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7558">
      <w:bodyDiv w:val="1"/>
      <w:marLeft w:val="0"/>
      <w:marRight w:val="0"/>
      <w:marTop w:val="0"/>
      <w:marBottom w:val="0"/>
      <w:divBdr>
        <w:top w:val="none" w:sz="0" w:space="0" w:color="auto"/>
        <w:left w:val="none" w:sz="0" w:space="0" w:color="auto"/>
        <w:bottom w:val="none" w:sz="0" w:space="0" w:color="auto"/>
        <w:right w:val="none" w:sz="0" w:space="0" w:color="auto"/>
      </w:divBdr>
      <w:divsChild>
        <w:div w:id="375200834">
          <w:marLeft w:val="0"/>
          <w:marRight w:val="0"/>
          <w:marTop w:val="0"/>
          <w:marBottom w:val="0"/>
          <w:divBdr>
            <w:top w:val="none" w:sz="0" w:space="0" w:color="auto"/>
            <w:left w:val="none" w:sz="0" w:space="0" w:color="auto"/>
            <w:bottom w:val="none" w:sz="0" w:space="0" w:color="auto"/>
            <w:right w:val="none" w:sz="0" w:space="0" w:color="auto"/>
          </w:divBdr>
          <w:divsChild>
            <w:div w:id="1799104118">
              <w:marLeft w:val="0"/>
              <w:marRight w:val="0"/>
              <w:marTop w:val="0"/>
              <w:marBottom w:val="0"/>
              <w:divBdr>
                <w:top w:val="none" w:sz="0" w:space="0" w:color="auto"/>
                <w:left w:val="none" w:sz="0" w:space="0" w:color="auto"/>
                <w:bottom w:val="none" w:sz="0" w:space="0" w:color="auto"/>
                <w:right w:val="none" w:sz="0" w:space="0" w:color="auto"/>
              </w:divBdr>
              <w:divsChild>
                <w:div w:id="19465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892">
      <w:bodyDiv w:val="1"/>
      <w:marLeft w:val="0"/>
      <w:marRight w:val="0"/>
      <w:marTop w:val="0"/>
      <w:marBottom w:val="0"/>
      <w:divBdr>
        <w:top w:val="none" w:sz="0" w:space="0" w:color="auto"/>
        <w:left w:val="none" w:sz="0" w:space="0" w:color="auto"/>
        <w:bottom w:val="none" w:sz="0" w:space="0" w:color="auto"/>
        <w:right w:val="none" w:sz="0" w:space="0" w:color="auto"/>
      </w:divBdr>
      <w:divsChild>
        <w:div w:id="1015379809">
          <w:marLeft w:val="0"/>
          <w:marRight w:val="0"/>
          <w:marTop w:val="0"/>
          <w:marBottom w:val="0"/>
          <w:divBdr>
            <w:top w:val="none" w:sz="0" w:space="0" w:color="auto"/>
            <w:left w:val="none" w:sz="0" w:space="0" w:color="auto"/>
            <w:bottom w:val="none" w:sz="0" w:space="0" w:color="auto"/>
            <w:right w:val="none" w:sz="0" w:space="0" w:color="auto"/>
          </w:divBdr>
          <w:divsChild>
            <w:div w:id="870609446">
              <w:marLeft w:val="0"/>
              <w:marRight w:val="0"/>
              <w:marTop w:val="0"/>
              <w:marBottom w:val="0"/>
              <w:divBdr>
                <w:top w:val="none" w:sz="0" w:space="0" w:color="auto"/>
                <w:left w:val="none" w:sz="0" w:space="0" w:color="auto"/>
                <w:bottom w:val="none" w:sz="0" w:space="0" w:color="auto"/>
                <w:right w:val="none" w:sz="0" w:space="0" w:color="auto"/>
              </w:divBdr>
              <w:divsChild>
                <w:div w:id="4877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2146">
          <w:marLeft w:val="0"/>
          <w:marRight w:val="0"/>
          <w:marTop w:val="0"/>
          <w:marBottom w:val="0"/>
          <w:divBdr>
            <w:top w:val="none" w:sz="0" w:space="0" w:color="auto"/>
            <w:left w:val="none" w:sz="0" w:space="0" w:color="auto"/>
            <w:bottom w:val="none" w:sz="0" w:space="0" w:color="auto"/>
            <w:right w:val="none" w:sz="0" w:space="0" w:color="auto"/>
          </w:divBdr>
          <w:divsChild>
            <w:div w:id="1756704830">
              <w:marLeft w:val="0"/>
              <w:marRight w:val="0"/>
              <w:marTop w:val="0"/>
              <w:marBottom w:val="0"/>
              <w:divBdr>
                <w:top w:val="none" w:sz="0" w:space="0" w:color="auto"/>
                <w:left w:val="none" w:sz="0" w:space="0" w:color="auto"/>
                <w:bottom w:val="none" w:sz="0" w:space="0" w:color="auto"/>
                <w:right w:val="none" w:sz="0" w:space="0" w:color="auto"/>
              </w:divBdr>
              <w:divsChild>
                <w:div w:id="1768840992">
                  <w:marLeft w:val="0"/>
                  <w:marRight w:val="0"/>
                  <w:marTop w:val="0"/>
                  <w:marBottom w:val="0"/>
                  <w:divBdr>
                    <w:top w:val="none" w:sz="0" w:space="0" w:color="auto"/>
                    <w:left w:val="none" w:sz="0" w:space="0" w:color="auto"/>
                    <w:bottom w:val="none" w:sz="0" w:space="0" w:color="auto"/>
                    <w:right w:val="none" w:sz="0" w:space="0" w:color="auto"/>
                  </w:divBdr>
                </w:div>
              </w:divsChild>
            </w:div>
            <w:div w:id="1152286619">
              <w:marLeft w:val="0"/>
              <w:marRight w:val="0"/>
              <w:marTop w:val="0"/>
              <w:marBottom w:val="0"/>
              <w:divBdr>
                <w:top w:val="none" w:sz="0" w:space="0" w:color="auto"/>
                <w:left w:val="none" w:sz="0" w:space="0" w:color="auto"/>
                <w:bottom w:val="none" w:sz="0" w:space="0" w:color="auto"/>
                <w:right w:val="none" w:sz="0" w:space="0" w:color="auto"/>
              </w:divBdr>
              <w:divsChild>
                <w:div w:id="1268587496">
                  <w:marLeft w:val="0"/>
                  <w:marRight w:val="0"/>
                  <w:marTop w:val="0"/>
                  <w:marBottom w:val="0"/>
                  <w:divBdr>
                    <w:top w:val="none" w:sz="0" w:space="0" w:color="auto"/>
                    <w:left w:val="none" w:sz="0" w:space="0" w:color="auto"/>
                    <w:bottom w:val="none" w:sz="0" w:space="0" w:color="auto"/>
                    <w:right w:val="none" w:sz="0" w:space="0" w:color="auto"/>
                  </w:divBdr>
                </w:div>
                <w:div w:id="8606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519">
      <w:bodyDiv w:val="1"/>
      <w:marLeft w:val="0"/>
      <w:marRight w:val="0"/>
      <w:marTop w:val="0"/>
      <w:marBottom w:val="0"/>
      <w:divBdr>
        <w:top w:val="none" w:sz="0" w:space="0" w:color="auto"/>
        <w:left w:val="none" w:sz="0" w:space="0" w:color="auto"/>
        <w:bottom w:val="none" w:sz="0" w:space="0" w:color="auto"/>
        <w:right w:val="none" w:sz="0" w:space="0" w:color="auto"/>
      </w:divBdr>
    </w:div>
    <w:div w:id="735860173">
      <w:bodyDiv w:val="1"/>
      <w:marLeft w:val="0"/>
      <w:marRight w:val="0"/>
      <w:marTop w:val="0"/>
      <w:marBottom w:val="0"/>
      <w:divBdr>
        <w:top w:val="none" w:sz="0" w:space="0" w:color="auto"/>
        <w:left w:val="none" w:sz="0" w:space="0" w:color="auto"/>
        <w:bottom w:val="none" w:sz="0" w:space="0" w:color="auto"/>
        <w:right w:val="none" w:sz="0" w:space="0" w:color="auto"/>
      </w:divBdr>
    </w:div>
    <w:div w:id="878666359">
      <w:bodyDiv w:val="1"/>
      <w:marLeft w:val="0"/>
      <w:marRight w:val="0"/>
      <w:marTop w:val="0"/>
      <w:marBottom w:val="0"/>
      <w:divBdr>
        <w:top w:val="none" w:sz="0" w:space="0" w:color="auto"/>
        <w:left w:val="none" w:sz="0" w:space="0" w:color="auto"/>
        <w:bottom w:val="none" w:sz="0" w:space="0" w:color="auto"/>
        <w:right w:val="none" w:sz="0" w:space="0" w:color="auto"/>
      </w:divBdr>
      <w:divsChild>
        <w:div w:id="926883760">
          <w:marLeft w:val="0"/>
          <w:marRight w:val="0"/>
          <w:marTop w:val="0"/>
          <w:marBottom w:val="0"/>
          <w:divBdr>
            <w:top w:val="none" w:sz="0" w:space="0" w:color="auto"/>
            <w:left w:val="none" w:sz="0" w:space="0" w:color="auto"/>
            <w:bottom w:val="none" w:sz="0" w:space="0" w:color="auto"/>
            <w:right w:val="none" w:sz="0" w:space="0" w:color="auto"/>
          </w:divBdr>
          <w:divsChild>
            <w:div w:id="1613976159">
              <w:marLeft w:val="0"/>
              <w:marRight w:val="0"/>
              <w:marTop w:val="0"/>
              <w:marBottom w:val="0"/>
              <w:divBdr>
                <w:top w:val="none" w:sz="0" w:space="0" w:color="auto"/>
                <w:left w:val="none" w:sz="0" w:space="0" w:color="auto"/>
                <w:bottom w:val="none" w:sz="0" w:space="0" w:color="auto"/>
                <w:right w:val="none" w:sz="0" w:space="0" w:color="auto"/>
              </w:divBdr>
              <w:divsChild>
                <w:div w:id="1726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5499">
      <w:bodyDiv w:val="1"/>
      <w:marLeft w:val="0"/>
      <w:marRight w:val="0"/>
      <w:marTop w:val="0"/>
      <w:marBottom w:val="0"/>
      <w:divBdr>
        <w:top w:val="none" w:sz="0" w:space="0" w:color="auto"/>
        <w:left w:val="none" w:sz="0" w:space="0" w:color="auto"/>
        <w:bottom w:val="none" w:sz="0" w:space="0" w:color="auto"/>
        <w:right w:val="none" w:sz="0" w:space="0" w:color="auto"/>
      </w:divBdr>
      <w:divsChild>
        <w:div w:id="294916459">
          <w:marLeft w:val="0"/>
          <w:marRight w:val="0"/>
          <w:marTop w:val="0"/>
          <w:marBottom w:val="0"/>
          <w:divBdr>
            <w:top w:val="none" w:sz="0" w:space="0" w:color="auto"/>
            <w:left w:val="none" w:sz="0" w:space="0" w:color="auto"/>
            <w:bottom w:val="none" w:sz="0" w:space="0" w:color="auto"/>
            <w:right w:val="none" w:sz="0" w:space="0" w:color="auto"/>
          </w:divBdr>
          <w:divsChild>
            <w:div w:id="403651115">
              <w:marLeft w:val="0"/>
              <w:marRight w:val="0"/>
              <w:marTop w:val="0"/>
              <w:marBottom w:val="0"/>
              <w:divBdr>
                <w:top w:val="none" w:sz="0" w:space="0" w:color="auto"/>
                <w:left w:val="none" w:sz="0" w:space="0" w:color="auto"/>
                <w:bottom w:val="none" w:sz="0" w:space="0" w:color="auto"/>
                <w:right w:val="none" w:sz="0" w:space="0" w:color="auto"/>
              </w:divBdr>
              <w:divsChild>
                <w:div w:id="6649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3769">
      <w:bodyDiv w:val="1"/>
      <w:marLeft w:val="0"/>
      <w:marRight w:val="0"/>
      <w:marTop w:val="0"/>
      <w:marBottom w:val="0"/>
      <w:divBdr>
        <w:top w:val="none" w:sz="0" w:space="0" w:color="auto"/>
        <w:left w:val="none" w:sz="0" w:space="0" w:color="auto"/>
        <w:bottom w:val="none" w:sz="0" w:space="0" w:color="auto"/>
        <w:right w:val="none" w:sz="0" w:space="0" w:color="auto"/>
      </w:divBdr>
      <w:divsChild>
        <w:div w:id="1088309532">
          <w:marLeft w:val="0"/>
          <w:marRight w:val="0"/>
          <w:marTop w:val="0"/>
          <w:marBottom w:val="0"/>
          <w:divBdr>
            <w:top w:val="none" w:sz="0" w:space="0" w:color="auto"/>
            <w:left w:val="none" w:sz="0" w:space="0" w:color="auto"/>
            <w:bottom w:val="none" w:sz="0" w:space="0" w:color="auto"/>
            <w:right w:val="none" w:sz="0" w:space="0" w:color="auto"/>
          </w:divBdr>
          <w:divsChild>
            <w:div w:id="912668334">
              <w:marLeft w:val="0"/>
              <w:marRight w:val="0"/>
              <w:marTop w:val="0"/>
              <w:marBottom w:val="0"/>
              <w:divBdr>
                <w:top w:val="none" w:sz="0" w:space="0" w:color="auto"/>
                <w:left w:val="none" w:sz="0" w:space="0" w:color="auto"/>
                <w:bottom w:val="none" w:sz="0" w:space="0" w:color="auto"/>
                <w:right w:val="none" w:sz="0" w:space="0" w:color="auto"/>
              </w:divBdr>
              <w:divsChild>
                <w:div w:id="13841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4629">
      <w:bodyDiv w:val="1"/>
      <w:marLeft w:val="0"/>
      <w:marRight w:val="0"/>
      <w:marTop w:val="0"/>
      <w:marBottom w:val="0"/>
      <w:divBdr>
        <w:top w:val="none" w:sz="0" w:space="0" w:color="auto"/>
        <w:left w:val="none" w:sz="0" w:space="0" w:color="auto"/>
        <w:bottom w:val="none" w:sz="0" w:space="0" w:color="auto"/>
        <w:right w:val="none" w:sz="0" w:space="0" w:color="auto"/>
      </w:divBdr>
    </w:div>
    <w:div w:id="1399326267">
      <w:bodyDiv w:val="1"/>
      <w:marLeft w:val="0"/>
      <w:marRight w:val="0"/>
      <w:marTop w:val="0"/>
      <w:marBottom w:val="0"/>
      <w:divBdr>
        <w:top w:val="none" w:sz="0" w:space="0" w:color="auto"/>
        <w:left w:val="none" w:sz="0" w:space="0" w:color="auto"/>
        <w:bottom w:val="none" w:sz="0" w:space="0" w:color="auto"/>
        <w:right w:val="none" w:sz="0" w:space="0" w:color="auto"/>
      </w:divBdr>
      <w:divsChild>
        <w:div w:id="647980962">
          <w:marLeft w:val="0"/>
          <w:marRight w:val="0"/>
          <w:marTop w:val="0"/>
          <w:marBottom w:val="0"/>
          <w:divBdr>
            <w:top w:val="none" w:sz="0" w:space="0" w:color="auto"/>
            <w:left w:val="none" w:sz="0" w:space="0" w:color="auto"/>
            <w:bottom w:val="none" w:sz="0" w:space="0" w:color="auto"/>
            <w:right w:val="none" w:sz="0" w:space="0" w:color="auto"/>
          </w:divBdr>
          <w:divsChild>
            <w:div w:id="328409455">
              <w:marLeft w:val="0"/>
              <w:marRight w:val="0"/>
              <w:marTop w:val="0"/>
              <w:marBottom w:val="0"/>
              <w:divBdr>
                <w:top w:val="none" w:sz="0" w:space="0" w:color="auto"/>
                <w:left w:val="none" w:sz="0" w:space="0" w:color="auto"/>
                <w:bottom w:val="none" w:sz="0" w:space="0" w:color="auto"/>
                <w:right w:val="none" w:sz="0" w:space="0" w:color="auto"/>
              </w:divBdr>
              <w:divsChild>
                <w:div w:id="7904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1036">
      <w:bodyDiv w:val="1"/>
      <w:marLeft w:val="0"/>
      <w:marRight w:val="0"/>
      <w:marTop w:val="0"/>
      <w:marBottom w:val="0"/>
      <w:divBdr>
        <w:top w:val="none" w:sz="0" w:space="0" w:color="auto"/>
        <w:left w:val="none" w:sz="0" w:space="0" w:color="auto"/>
        <w:bottom w:val="none" w:sz="0" w:space="0" w:color="auto"/>
        <w:right w:val="none" w:sz="0" w:space="0" w:color="auto"/>
      </w:divBdr>
      <w:divsChild>
        <w:div w:id="2009823273">
          <w:marLeft w:val="0"/>
          <w:marRight w:val="0"/>
          <w:marTop w:val="0"/>
          <w:marBottom w:val="0"/>
          <w:divBdr>
            <w:top w:val="none" w:sz="0" w:space="0" w:color="auto"/>
            <w:left w:val="none" w:sz="0" w:space="0" w:color="auto"/>
            <w:bottom w:val="none" w:sz="0" w:space="0" w:color="auto"/>
            <w:right w:val="none" w:sz="0" w:space="0" w:color="auto"/>
          </w:divBdr>
          <w:divsChild>
            <w:div w:id="1154182838">
              <w:marLeft w:val="0"/>
              <w:marRight w:val="0"/>
              <w:marTop w:val="0"/>
              <w:marBottom w:val="0"/>
              <w:divBdr>
                <w:top w:val="none" w:sz="0" w:space="0" w:color="auto"/>
                <w:left w:val="none" w:sz="0" w:space="0" w:color="auto"/>
                <w:bottom w:val="none" w:sz="0" w:space="0" w:color="auto"/>
                <w:right w:val="none" w:sz="0" w:space="0" w:color="auto"/>
              </w:divBdr>
              <w:divsChild>
                <w:div w:id="15594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9275">
      <w:bodyDiv w:val="1"/>
      <w:marLeft w:val="0"/>
      <w:marRight w:val="0"/>
      <w:marTop w:val="0"/>
      <w:marBottom w:val="0"/>
      <w:divBdr>
        <w:top w:val="none" w:sz="0" w:space="0" w:color="auto"/>
        <w:left w:val="none" w:sz="0" w:space="0" w:color="auto"/>
        <w:bottom w:val="none" w:sz="0" w:space="0" w:color="auto"/>
        <w:right w:val="none" w:sz="0" w:space="0" w:color="auto"/>
      </w:divBdr>
      <w:divsChild>
        <w:div w:id="526260862">
          <w:marLeft w:val="0"/>
          <w:marRight w:val="0"/>
          <w:marTop w:val="0"/>
          <w:marBottom w:val="0"/>
          <w:divBdr>
            <w:top w:val="none" w:sz="0" w:space="0" w:color="auto"/>
            <w:left w:val="none" w:sz="0" w:space="0" w:color="auto"/>
            <w:bottom w:val="none" w:sz="0" w:space="0" w:color="auto"/>
            <w:right w:val="none" w:sz="0" w:space="0" w:color="auto"/>
          </w:divBdr>
          <w:divsChild>
            <w:div w:id="600994928">
              <w:marLeft w:val="0"/>
              <w:marRight w:val="0"/>
              <w:marTop w:val="0"/>
              <w:marBottom w:val="0"/>
              <w:divBdr>
                <w:top w:val="none" w:sz="0" w:space="0" w:color="auto"/>
                <w:left w:val="none" w:sz="0" w:space="0" w:color="auto"/>
                <w:bottom w:val="none" w:sz="0" w:space="0" w:color="auto"/>
                <w:right w:val="none" w:sz="0" w:space="0" w:color="auto"/>
              </w:divBdr>
              <w:divsChild>
                <w:div w:id="1068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7024">
      <w:bodyDiv w:val="1"/>
      <w:marLeft w:val="0"/>
      <w:marRight w:val="0"/>
      <w:marTop w:val="0"/>
      <w:marBottom w:val="0"/>
      <w:divBdr>
        <w:top w:val="none" w:sz="0" w:space="0" w:color="auto"/>
        <w:left w:val="none" w:sz="0" w:space="0" w:color="auto"/>
        <w:bottom w:val="none" w:sz="0" w:space="0" w:color="auto"/>
        <w:right w:val="none" w:sz="0" w:space="0" w:color="auto"/>
      </w:divBdr>
    </w:div>
    <w:div w:id="1574385776">
      <w:bodyDiv w:val="1"/>
      <w:marLeft w:val="0"/>
      <w:marRight w:val="0"/>
      <w:marTop w:val="0"/>
      <w:marBottom w:val="0"/>
      <w:divBdr>
        <w:top w:val="none" w:sz="0" w:space="0" w:color="auto"/>
        <w:left w:val="none" w:sz="0" w:space="0" w:color="auto"/>
        <w:bottom w:val="none" w:sz="0" w:space="0" w:color="auto"/>
        <w:right w:val="none" w:sz="0" w:space="0" w:color="auto"/>
      </w:divBdr>
      <w:divsChild>
        <w:div w:id="216935650">
          <w:marLeft w:val="0"/>
          <w:marRight w:val="0"/>
          <w:marTop w:val="0"/>
          <w:marBottom w:val="0"/>
          <w:divBdr>
            <w:top w:val="none" w:sz="0" w:space="0" w:color="auto"/>
            <w:left w:val="none" w:sz="0" w:space="0" w:color="auto"/>
            <w:bottom w:val="none" w:sz="0" w:space="0" w:color="auto"/>
            <w:right w:val="none" w:sz="0" w:space="0" w:color="auto"/>
          </w:divBdr>
          <w:divsChild>
            <w:div w:id="1334145697">
              <w:marLeft w:val="0"/>
              <w:marRight w:val="0"/>
              <w:marTop w:val="0"/>
              <w:marBottom w:val="0"/>
              <w:divBdr>
                <w:top w:val="none" w:sz="0" w:space="0" w:color="auto"/>
                <w:left w:val="none" w:sz="0" w:space="0" w:color="auto"/>
                <w:bottom w:val="none" w:sz="0" w:space="0" w:color="auto"/>
                <w:right w:val="none" w:sz="0" w:space="0" w:color="auto"/>
              </w:divBdr>
              <w:divsChild>
                <w:div w:id="1702900782">
                  <w:marLeft w:val="0"/>
                  <w:marRight w:val="0"/>
                  <w:marTop w:val="0"/>
                  <w:marBottom w:val="0"/>
                  <w:divBdr>
                    <w:top w:val="none" w:sz="0" w:space="0" w:color="auto"/>
                    <w:left w:val="none" w:sz="0" w:space="0" w:color="auto"/>
                    <w:bottom w:val="none" w:sz="0" w:space="0" w:color="auto"/>
                    <w:right w:val="none" w:sz="0" w:space="0" w:color="auto"/>
                  </w:divBdr>
                </w:div>
              </w:divsChild>
            </w:div>
            <w:div w:id="1535537484">
              <w:marLeft w:val="0"/>
              <w:marRight w:val="0"/>
              <w:marTop w:val="0"/>
              <w:marBottom w:val="0"/>
              <w:divBdr>
                <w:top w:val="none" w:sz="0" w:space="0" w:color="auto"/>
                <w:left w:val="none" w:sz="0" w:space="0" w:color="auto"/>
                <w:bottom w:val="none" w:sz="0" w:space="0" w:color="auto"/>
                <w:right w:val="none" w:sz="0" w:space="0" w:color="auto"/>
              </w:divBdr>
              <w:divsChild>
                <w:div w:id="889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0653">
          <w:marLeft w:val="0"/>
          <w:marRight w:val="0"/>
          <w:marTop w:val="0"/>
          <w:marBottom w:val="0"/>
          <w:divBdr>
            <w:top w:val="none" w:sz="0" w:space="0" w:color="auto"/>
            <w:left w:val="none" w:sz="0" w:space="0" w:color="auto"/>
            <w:bottom w:val="none" w:sz="0" w:space="0" w:color="auto"/>
            <w:right w:val="none" w:sz="0" w:space="0" w:color="auto"/>
          </w:divBdr>
          <w:divsChild>
            <w:div w:id="1533181026">
              <w:marLeft w:val="0"/>
              <w:marRight w:val="0"/>
              <w:marTop w:val="0"/>
              <w:marBottom w:val="0"/>
              <w:divBdr>
                <w:top w:val="none" w:sz="0" w:space="0" w:color="auto"/>
                <w:left w:val="none" w:sz="0" w:space="0" w:color="auto"/>
                <w:bottom w:val="none" w:sz="0" w:space="0" w:color="auto"/>
                <w:right w:val="none" w:sz="0" w:space="0" w:color="auto"/>
              </w:divBdr>
              <w:divsChild>
                <w:div w:id="16615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7099">
      <w:bodyDiv w:val="1"/>
      <w:marLeft w:val="0"/>
      <w:marRight w:val="0"/>
      <w:marTop w:val="0"/>
      <w:marBottom w:val="0"/>
      <w:divBdr>
        <w:top w:val="none" w:sz="0" w:space="0" w:color="auto"/>
        <w:left w:val="none" w:sz="0" w:space="0" w:color="auto"/>
        <w:bottom w:val="none" w:sz="0" w:space="0" w:color="auto"/>
        <w:right w:val="none" w:sz="0" w:space="0" w:color="auto"/>
      </w:divBdr>
      <w:divsChild>
        <w:div w:id="1538814419">
          <w:marLeft w:val="0"/>
          <w:marRight w:val="0"/>
          <w:marTop w:val="0"/>
          <w:marBottom w:val="0"/>
          <w:divBdr>
            <w:top w:val="none" w:sz="0" w:space="0" w:color="auto"/>
            <w:left w:val="none" w:sz="0" w:space="0" w:color="auto"/>
            <w:bottom w:val="none" w:sz="0" w:space="0" w:color="auto"/>
            <w:right w:val="none" w:sz="0" w:space="0" w:color="auto"/>
          </w:divBdr>
          <w:divsChild>
            <w:div w:id="1314409895">
              <w:marLeft w:val="0"/>
              <w:marRight w:val="0"/>
              <w:marTop w:val="0"/>
              <w:marBottom w:val="0"/>
              <w:divBdr>
                <w:top w:val="none" w:sz="0" w:space="0" w:color="auto"/>
                <w:left w:val="none" w:sz="0" w:space="0" w:color="auto"/>
                <w:bottom w:val="none" w:sz="0" w:space="0" w:color="auto"/>
                <w:right w:val="none" w:sz="0" w:space="0" w:color="auto"/>
              </w:divBdr>
              <w:divsChild>
                <w:div w:id="469060442">
                  <w:marLeft w:val="0"/>
                  <w:marRight w:val="0"/>
                  <w:marTop w:val="0"/>
                  <w:marBottom w:val="0"/>
                  <w:divBdr>
                    <w:top w:val="none" w:sz="0" w:space="0" w:color="auto"/>
                    <w:left w:val="none" w:sz="0" w:space="0" w:color="auto"/>
                    <w:bottom w:val="none" w:sz="0" w:space="0" w:color="auto"/>
                    <w:right w:val="none" w:sz="0" w:space="0" w:color="auto"/>
                  </w:divBdr>
                </w:div>
              </w:divsChild>
            </w:div>
            <w:div w:id="1918784440">
              <w:marLeft w:val="0"/>
              <w:marRight w:val="0"/>
              <w:marTop w:val="0"/>
              <w:marBottom w:val="0"/>
              <w:divBdr>
                <w:top w:val="none" w:sz="0" w:space="0" w:color="auto"/>
                <w:left w:val="none" w:sz="0" w:space="0" w:color="auto"/>
                <w:bottom w:val="none" w:sz="0" w:space="0" w:color="auto"/>
                <w:right w:val="none" w:sz="0" w:space="0" w:color="auto"/>
              </w:divBdr>
              <w:divsChild>
                <w:div w:id="509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7540">
          <w:marLeft w:val="0"/>
          <w:marRight w:val="0"/>
          <w:marTop w:val="0"/>
          <w:marBottom w:val="0"/>
          <w:divBdr>
            <w:top w:val="none" w:sz="0" w:space="0" w:color="auto"/>
            <w:left w:val="none" w:sz="0" w:space="0" w:color="auto"/>
            <w:bottom w:val="none" w:sz="0" w:space="0" w:color="auto"/>
            <w:right w:val="none" w:sz="0" w:space="0" w:color="auto"/>
          </w:divBdr>
          <w:divsChild>
            <w:div w:id="913514687">
              <w:marLeft w:val="0"/>
              <w:marRight w:val="0"/>
              <w:marTop w:val="0"/>
              <w:marBottom w:val="0"/>
              <w:divBdr>
                <w:top w:val="none" w:sz="0" w:space="0" w:color="auto"/>
                <w:left w:val="none" w:sz="0" w:space="0" w:color="auto"/>
                <w:bottom w:val="none" w:sz="0" w:space="0" w:color="auto"/>
                <w:right w:val="none" w:sz="0" w:space="0" w:color="auto"/>
              </w:divBdr>
              <w:divsChild>
                <w:div w:id="1133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E96A-267A-FC4D-BCA7-D6736EC7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Rautio</dc:creator>
  <cp:keywords/>
  <dc:description/>
  <cp:lastModifiedBy>Aleksandra Rautio</cp:lastModifiedBy>
  <cp:revision>5</cp:revision>
  <dcterms:created xsi:type="dcterms:W3CDTF">2023-05-14T12:24:00Z</dcterms:created>
  <dcterms:modified xsi:type="dcterms:W3CDTF">2023-05-14T13:05:00Z</dcterms:modified>
</cp:coreProperties>
</file>